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BD671">
      <w:pPr>
        <w:rPr>
          <w:rFonts w:hint="eastAsia" w:ascii="黑体" w:hAnsi="黑体" w:eastAsia="黑体"/>
          <w:sz w:val="32"/>
          <w:szCs w:val="32"/>
        </w:rPr>
      </w:pPr>
    </w:p>
    <w:p w14:paraId="0FFEA2C4">
      <w:pPr>
        <w:jc w:val="center"/>
        <w:rPr>
          <w:rFonts w:hint="eastAsia" w:ascii="方正小标宋_GBK" w:hAnsi="宋体" w:eastAsia="方正小标宋_GBK"/>
          <w:sz w:val="44"/>
          <w:szCs w:val="44"/>
        </w:rPr>
      </w:pPr>
    </w:p>
    <w:p w14:paraId="36B6FA6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木垒哈萨克自治县发展和改革委员会</w:t>
      </w:r>
    </w:p>
    <w:p w14:paraId="24B0A93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858897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79F201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E9F7F4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7E2ADF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E38E1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72FE6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3AEB2D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01060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F5828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412D3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145FE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55092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F11F7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F60D9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1728F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2EB7C9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F16FB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FB49CF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EF63B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7639DD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3AA69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BAD192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AABF33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19F833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F78B7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51E0B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C9D9C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598E7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607C2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2B7C5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F1E7C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F9E359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37BF84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5F02AEF">
      <w:r>
        <w:rPr>
          <w:rFonts w:hint="eastAsia" w:ascii="仿宋_GB2312" w:hAnsi="仿宋_GB2312" w:eastAsia="仿宋_GB2312" w:cs="仿宋_GB2312"/>
          <w:sz w:val="32"/>
          <w:szCs w:val="32"/>
        </w:rPr>
        <w:fldChar w:fldCharType="end"/>
      </w:r>
    </w:p>
    <w:p w14:paraId="79ABF1AE">
      <w:pPr>
        <w:rPr>
          <w:rFonts w:ascii="仿宋_GB2312" w:eastAsia="仿宋_GB2312"/>
          <w:sz w:val="32"/>
          <w:szCs w:val="32"/>
        </w:rPr>
      </w:pPr>
      <w:r>
        <w:rPr>
          <w:rFonts w:hint="eastAsia" w:ascii="仿宋_GB2312" w:eastAsia="仿宋_GB2312"/>
          <w:sz w:val="32"/>
          <w:szCs w:val="32"/>
        </w:rPr>
        <w:br w:type="page"/>
      </w:r>
    </w:p>
    <w:p w14:paraId="54639EC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CCE971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C878860">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sz w:val="32"/>
          <w:szCs w:val="32"/>
        </w:rPr>
        <w:t>贯彻执行国家和自治区国民经济和社会发展方针、政策。研究提出自治县国民经济和社会发展战略、中长期规划和年度发展计划，统筹协调自治县经济社会发展，提出国民经济发展、价格总水平调控和优化重大经济结构的目标、政策，提出综合运用各种经济手段和政策的建议；组织研究、协调实施重点专项规划，衔接、平衡各部门（园区）及主要行业的规划；受自治县人民政府委托向自治县人大提交国民经济和社会发展计划的报告。</w:t>
      </w:r>
    </w:p>
    <w:p w14:paraId="2687B31A">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负责监测宏观经济和社会发展态势，承担预测预警和信息引导的责任。提出促进自治县经济高质量发展的政策建议；研究涉及自治县经济安全及总体产业安全等重要问题并提出政策措施和建议；负责自治县国民经济动员办公室的工作。</w:t>
      </w:r>
    </w:p>
    <w:p w14:paraId="3EEEB966">
      <w:pPr>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eastAsia="zh-CN"/>
        </w:rPr>
        <w:t>.</w:t>
      </w:r>
      <w:r>
        <w:rPr>
          <w:rFonts w:hint="eastAsia" w:ascii="仿宋_GB2312" w:eastAsia="仿宋_GB2312"/>
          <w:sz w:val="32"/>
          <w:szCs w:val="32"/>
        </w:rPr>
        <w:t>汇总分析自治县财政、金融、产业、价格政策等方面的情况和执行效果，提出建议。拟订并组织实施价格政策；制定和调整政府管理的重要商品价格、服务价格和收费项目、标准；发布重大价格信息，远东市场价格行为等。</w:t>
      </w:r>
    </w:p>
    <w:p w14:paraId="674B466F">
      <w:pPr>
        <w:ind w:firstLine="640" w:firstLineChars="200"/>
        <w:rPr>
          <w:rFonts w:ascii="仿宋_GB2312" w:eastAsia="仿宋_GB2312"/>
          <w:sz w:val="32"/>
          <w:szCs w:val="32"/>
        </w:rPr>
      </w:pPr>
      <w:r>
        <w:rPr>
          <w:rFonts w:hint="eastAsia" w:ascii="仿宋_GB2312" w:eastAsia="仿宋_GB2312"/>
          <w:sz w:val="32"/>
          <w:szCs w:val="32"/>
        </w:rPr>
        <w:t>4</w:t>
      </w:r>
      <w:r>
        <w:rPr>
          <w:rFonts w:hint="eastAsia" w:ascii="仿宋_GB2312" w:eastAsia="仿宋_GB2312"/>
          <w:sz w:val="32"/>
          <w:szCs w:val="32"/>
          <w:lang w:eastAsia="zh-CN"/>
        </w:rPr>
        <w:t>.</w:t>
      </w:r>
      <w:r>
        <w:rPr>
          <w:rFonts w:hint="eastAsia" w:ascii="仿宋_GB2312" w:eastAsia="仿宋_GB2312"/>
          <w:sz w:val="32"/>
          <w:szCs w:val="32"/>
        </w:rPr>
        <w:t>承担综合协调经济体制改革的责任。参与研究制定自治县经济体制改革和对外开放的重大问题，组织拟订综合性经济体制改革方案，协调有关专项经济体制改革方案；组织制定区域经济协调发展规划和政策；推进西部大开发战略和重大政策的实施；推进自治县城镇化建设。跟踪调查小城镇改革和发展、非国有经济改革与发展政策措施执行情况，及时提出对策建议；参与研究论证县涉外经济体制改革；指导有关部门和各乡镇的经济体制改革工作。</w:t>
      </w:r>
    </w:p>
    <w:p w14:paraId="4DD9FBFF">
      <w:pPr>
        <w:ind w:firstLine="640" w:firstLineChars="200"/>
        <w:rPr>
          <w:rFonts w:ascii="仿宋_GB2312" w:eastAsia="仿宋_GB2312"/>
          <w:sz w:val="32"/>
          <w:szCs w:val="32"/>
        </w:rPr>
      </w:pPr>
      <w:r>
        <w:rPr>
          <w:rFonts w:hint="eastAsia" w:ascii="仿宋_GB2312" w:eastAsia="仿宋_GB2312"/>
          <w:sz w:val="32"/>
          <w:szCs w:val="32"/>
        </w:rPr>
        <w:t>5</w:t>
      </w:r>
      <w:r>
        <w:rPr>
          <w:rFonts w:hint="eastAsia" w:ascii="仿宋_GB2312" w:eastAsia="仿宋_GB2312"/>
          <w:sz w:val="32"/>
          <w:szCs w:val="32"/>
          <w:lang w:eastAsia="zh-CN"/>
        </w:rPr>
        <w:t>.</w:t>
      </w:r>
      <w:r>
        <w:rPr>
          <w:rFonts w:hint="eastAsia" w:ascii="仿宋_GB2312" w:eastAsia="仿宋_GB2312"/>
          <w:sz w:val="32"/>
          <w:szCs w:val="32"/>
        </w:rPr>
        <w:t>承担规划重大建设项目和生产力布局的责任。研究提出自治县全社会固定资产投资总规模和投资方向，规划重点项目和生产力布局；负责自治县重点项目的管理和组织协调；按照管理权限，负责审核上报、审批、核准、备案各行业固定资产投资项目；组织实施自治县固定资产投资项目节能评估工作；指导和协调自治县招投标工作，负责重点项目招投标活动有关监督管理工作。</w:t>
      </w:r>
    </w:p>
    <w:p w14:paraId="3EA54027">
      <w:pPr>
        <w:ind w:firstLine="640" w:firstLineChars="200"/>
        <w:rPr>
          <w:rFonts w:ascii="仿宋_GB2312" w:eastAsia="仿宋_GB2312"/>
          <w:sz w:val="32"/>
          <w:szCs w:val="32"/>
        </w:rPr>
      </w:pPr>
      <w:r>
        <w:rPr>
          <w:rFonts w:hint="eastAsia" w:ascii="仿宋_GB2312" w:eastAsia="仿宋_GB2312"/>
          <w:sz w:val="32"/>
          <w:szCs w:val="32"/>
        </w:rPr>
        <w:t>6</w:t>
      </w:r>
      <w:r>
        <w:rPr>
          <w:rFonts w:hint="eastAsia" w:ascii="仿宋_GB2312" w:eastAsia="仿宋_GB2312"/>
          <w:sz w:val="32"/>
          <w:szCs w:val="32"/>
          <w:lang w:eastAsia="zh-CN"/>
        </w:rPr>
        <w:t>.</w:t>
      </w:r>
      <w:r>
        <w:rPr>
          <w:rFonts w:hint="eastAsia" w:ascii="仿宋_GB2312" w:eastAsia="仿宋_GB2312"/>
          <w:sz w:val="32"/>
          <w:szCs w:val="32"/>
        </w:rPr>
        <w:t>推进产业结构调整和升级。组织拟订自治县综合性产业政策，负责协调</w:t>
      </w:r>
      <w:r>
        <w:rPr>
          <w:rFonts w:hint="eastAsia" w:ascii="仿宋_GB2312" w:eastAsia="仿宋_GB2312"/>
          <w:sz w:val="32"/>
          <w:szCs w:val="32"/>
          <w:lang w:eastAsia="zh-CN"/>
        </w:rPr>
        <w:t>第一，</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三产业发展的重大问题，做好与国民经济和社会发展规划、计划的衔接平衡；提出自治县国民经济重要产业的发展战略和规划，组织审核上报、审批专项规划；研究并协调农业和农村经济社会发展的有关重大问题，衔接农村专项规划和政策；拟订并实施以工代赈规划和计划。</w:t>
      </w:r>
    </w:p>
    <w:p w14:paraId="649ADBD4">
      <w:pPr>
        <w:ind w:firstLine="640" w:firstLineChars="200"/>
        <w:rPr>
          <w:rFonts w:ascii="仿宋_GB2312" w:eastAsia="仿宋_GB2312"/>
          <w:sz w:val="32"/>
          <w:szCs w:val="32"/>
        </w:rPr>
      </w:pPr>
      <w:r>
        <w:rPr>
          <w:rFonts w:hint="eastAsia" w:ascii="仿宋_GB2312" w:eastAsia="仿宋_GB2312"/>
          <w:sz w:val="32"/>
          <w:szCs w:val="32"/>
        </w:rPr>
        <w:t>7</w:t>
      </w:r>
      <w:r>
        <w:rPr>
          <w:rFonts w:hint="eastAsia" w:ascii="仿宋_GB2312" w:eastAsia="仿宋_GB2312"/>
          <w:sz w:val="32"/>
          <w:szCs w:val="32"/>
          <w:lang w:eastAsia="zh-CN"/>
        </w:rPr>
        <w:t>.</w:t>
      </w:r>
      <w:r>
        <w:rPr>
          <w:rFonts w:hint="eastAsia" w:ascii="仿宋_GB2312" w:eastAsia="仿宋_GB2312"/>
          <w:sz w:val="32"/>
          <w:szCs w:val="32"/>
        </w:rPr>
        <w:t>研究提出能源发展战略、规划，贯彻执行国家、自治区、自治州有关发展能源（煤炭）工业的方针政策、</w:t>
      </w:r>
      <w:r>
        <w:rPr>
          <w:rFonts w:hint="eastAsia" w:ascii="仿宋_GB2312" w:eastAsia="仿宋_GB2312"/>
          <w:sz w:val="32"/>
          <w:szCs w:val="32"/>
          <w:lang w:eastAsia="zh-CN"/>
        </w:rPr>
        <w:t>法律法规</w:t>
      </w:r>
      <w:r>
        <w:rPr>
          <w:rFonts w:hint="eastAsia" w:ascii="仿宋_GB2312" w:eastAsia="仿宋_GB2312"/>
          <w:sz w:val="32"/>
          <w:szCs w:val="32"/>
        </w:rPr>
        <w:t>，研究制定全县发展煤炭工业的行业规范和技术标准；负责自治县能源安全监督管理及煤炭行业管理和煤矿安全生产检查监督管理工作，对煤矿违法违规行为作出现场处理或实施行政处罚；组织协调自治县煤炭行业的技术开发、推广和先进技术的引进、合作和交流，提供信息、技术、管理、咨询服务。</w:t>
      </w:r>
    </w:p>
    <w:p w14:paraId="23F02EAE">
      <w:pPr>
        <w:ind w:firstLine="640" w:firstLineChars="200"/>
        <w:rPr>
          <w:rFonts w:ascii="仿宋_GB2312" w:eastAsia="仿宋_GB2312"/>
          <w:sz w:val="32"/>
          <w:szCs w:val="32"/>
        </w:rPr>
      </w:pPr>
      <w:r>
        <w:rPr>
          <w:rFonts w:hint="eastAsia" w:ascii="仿宋_GB2312" w:eastAsia="仿宋_GB2312"/>
          <w:sz w:val="32"/>
          <w:szCs w:val="32"/>
        </w:rPr>
        <w:t>8</w:t>
      </w:r>
      <w:r>
        <w:rPr>
          <w:rFonts w:hint="eastAsia" w:ascii="仿宋_GB2312" w:eastAsia="仿宋_GB2312"/>
          <w:sz w:val="32"/>
          <w:szCs w:val="32"/>
          <w:lang w:eastAsia="zh-CN"/>
        </w:rPr>
        <w:t>.</w:t>
      </w:r>
      <w:r>
        <w:rPr>
          <w:rFonts w:hint="eastAsia" w:ascii="仿宋_GB2312" w:eastAsia="仿宋_GB2312"/>
          <w:sz w:val="32"/>
          <w:szCs w:val="32"/>
        </w:rPr>
        <w:t>研究提出自治县利用外资的发展战略、总量平衡和结构优化的目标和政策并监测运行情况。按照管理权限，负责审核上报国外贷款项目、外商直接投资项目和境外投资项目；会同有关部门协调和审查利用重大内外资项目。</w:t>
      </w:r>
    </w:p>
    <w:p w14:paraId="503B9ACF">
      <w:pPr>
        <w:ind w:firstLine="640" w:firstLineChars="200"/>
        <w:rPr>
          <w:rFonts w:ascii="仿宋_GB2312" w:eastAsia="仿宋_GB2312"/>
          <w:sz w:val="32"/>
          <w:szCs w:val="32"/>
        </w:rPr>
      </w:pPr>
      <w:r>
        <w:rPr>
          <w:rFonts w:hint="eastAsia" w:ascii="仿宋_GB2312" w:eastAsia="仿宋_GB2312"/>
          <w:sz w:val="32"/>
          <w:szCs w:val="32"/>
        </w:rPr>
        <w:t>9</w:t>
      </w:r>
      <w:r>
        <w:rPr>
          <w:rFonts w:hint="eastAsia" w:ascii="仿宋_GB2312" w:eastAsia="仿宋_GB2312"/>
          <w:sz w:val="32"/>
          <w:szCs w:val="32"/>
          <w:lang w:eastAsia="zh-CN"/>
        </w:rPr>
        <w:t>.</w:t>
      </w:r>
      <w:r>
        <w:rPr>
          <w:rFonts w:hint="eastAsia" w:ascii="仿宋_GB2312" w:eastAsia="仿宋_GB2312"/>
          <w:sz w:val="32"/>
          <w:szCs w:val="32"/>
        </w:rPr>
        <w:t>承担自治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自治县救灾物资采购和储备管理工作，落实有关运用计划和指令。承担粮食监测预警和应急责任；负责粮食流通行政管理、行为指导。</w:t>
      </w:r>
    </w:p>
    <w:p w14:paraId="19AEC99F">
      <w:pPr>
        <w:ind w:firstLine="640" w:firstLineChars="200"/>
        <w:rPr>
          <w:rFonts w:ascii="仿宋_GB2312" w:eastAsia="仿宋_GB2312"/>
          <w:sz w:val="32"/>
          <w:szCs w:val="32"/>
        </w:rPr>
      </w:pPr>
      <w:r>
        <w:rPr>
          <w:rFonts w:hint="eastAsia" w:ascii="仿宋_GB2312" w:eastAsia="仿宋_GB2312"/>
          <w:sz w:val="32"/>
          <w:szCs w:val="32"/>
        </w:rPr>
        <w:t>10</w:t>
      </w:r>
      <w:r>
        <w:rPr>
          <w:rFonts w:hint="eastAsia" w:ascii="仿宋_GB2312" w:eastAsia="仿宋_GB2312"/>
          <w:sz w:val="32"/>
          <w:szCs w:val="32"/>
          <w:lang w:eastAsia="zh-CN"/>
        </w:rPr>
        <w:t>.</w:t>
      </w:r>
      <w:r>
        <w:rPr>
          <w:rFonts w:hint="eastAsia" w:ascii="仿宋_GB2312" w:eastAsia="仿宋_GB2312"/>
          <w:sz w:val="32"/>
          <w:szCs w:val="32"/>
        </w:rPr>
        <w:t>负责自治县</w:t>
      </w:r>
      <w:r>
        <w:rPr>
          <w:rFonts w:hint="eastAsia" w:ascii="仿宋_GB2312" w:eastAsia="仿宋_GB2312"/>
          <w:sz w:val="32"/>
          <w:szCs w:val="32"/>
          <w:lang w:eastAsia="zh-CN"/>
        </w:rPr>
        <w:t>国民经济和社会发展</w:t>
      </w:r>
      <w:r>
        <w:rPr>
          <w:rFonts w:hint="eastAsia" w:ascii="仿宋_GB2312" w:eastAsia="仿宋_GB2312"/>
          <w:sz w:val="32"/>
          <w:szCs w:val="32"/>
        </w:rPr>
        <w:t>的政策衔接，组织拟订社会发展战略，总体规划和年度计划。参与拟定自治县人口规划、科学技术、教育、文化、卫生、民政等社会事业发展政策，协调自治县社会事业发展的重大问题；研究提出促进就业、调整收入分配、完善社会保障与经济协调</w:t>
      </w:r>
      <w:r>
        <w:rPr>
          <w:rFonts w:hint="eastAsia" w:ascii="仿宋_GB2312" w:eastAsia="仿宋_GB2312"/>
          <w:sz w:val="32"/>
          <w:szCs w:val="32"/>
          <w:lang w:eastAsia="zh-CN"/>
        </w:rPr>
        <w:t>发展</w:t>
      </w:r>
      <w:r>
        <w:rPr>
          <w:rFonts w:hint="eastAsia" w:ascii="仿宋_GB2312" w:eastAsia="仿宋_GB2312"/>
          <w:sz w:val="32"/>
          <w:szCs w:val="32"/>
        </w:rPr>
        <w:t>措施和建议。</w:t>
      </w:r>
    </w:p>
    <w:p w14:paraId="6179AB1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3A61C8E">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木垒哈萨克自治县发展和改革委员会2023年度，实有人数</w:t>
      </w:r>
      <w:r>
        <w:rPr>
          <w:rFonts w:hint="eastAsia" w:ascii="仿宋_GB2312" w:eastAsia="仿宋_GB2312"/>
          <w:sz w:val="32"/>
          <w:szCs w:val="32"/>
          <w:lang w:val="zh-CN"/>
        </w:rPr>
        <w:t>71</w:t>
      </w:r>
      <w:r>
        <w:rPr>
          <w:rFonts w:hint="eastAsia" w:ascii="仿宋_GB2312" w:eastAsia="仿宋_GB2312"/>
          <w:sz w:val="32"/>
          <w:szCs w:val="32"/>
        </w:rPr>
        <w:t>人，其中：在职人员</w:t>
      </w:r>
      <w:r>
        <w:rPr>
          <w:rFonts w:hint="eastAsia" w:ascii="仿宋_GB2312" w:eastAsia="仿宋_GB2312"/>
          <w:sz w:val="32"/>
          <w:szCs w:val="32"/>
          <w:lang w:val="zh-CN"/>
        </w:rPr>
        <w:t>32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14:paraId="66A21CB8">
      <w:pPr>
        <w:ind w:firstLine="640" w:firstLineChars="200"/>
        <w:jc w:val="left"/>
        <w:rPr>
          <w:rFonts w:ascii="仿宋_GB2312" w:eastAsia="仿宋_GB2312"/>
          <w:sz w:val="32"/>
          <w:szCs w:val="32"/>
          <w:rtl/>
          <w:cs/>
          <w:lang w:val="zh-CN"/>
        </w:rPr>
      </w:pPr>
      <w:r>
        <w:rPr>
          <w:rFonts w:hint="eastAsia" w:ascii="仿宋_GB2312" w:eastAsia="仿宋_GB2312"/>
          <w:sz w:val="32"/>
          <w:szCs w:val="32"/>
          <w:lang w:val="zh-CN"/>
        </w:rPr>
        <w:t>单位无下属预算单位，下设8个处室，分别是：办公室、综合科（援疆办）、投资管理科（项目办）、工交能源安全科（能源安全监测中心）、价格科、粮食和物资储备科、行政审批科、军粮供应站。</w:t>
      </w:r>
    </w:p>
    <w:p w14:paraId="3B55FDC3">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24F6F38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0E94302">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FBC69B5">
      <w:pPr>
        <w:ind w:firstLine="640" w:firstLineChars="200"/>
        <w:jc w:val="left"/>
        <w:rPr>
          <w:rFonts w:ascii="仿宋_GB2312" w:eastAsia="仿宋_GB2312"/>
          <w:sz w:val="32"/>
          <w:szCs w:val="32"/>
        </w:rPr>
      </w:pPr>
      <w:r>
        <w:rPr>
          <w:rFonts w:hint="eastAsia" w:ascii="仿宋_GB2312" w:eastAsia="仿宋_GB2312"/>
          <w:sz w:val="32"/>
          <w:szCs w:val="32"/>
        </w:rPr>
        <w:t>2023年度收入总计922.99万元，其中：本年收入合计922.99万元，使用非财政拨款结余0.00万元，年初结转和结余0.00万元。</w:t>
      </w:r>
    </w:p>
    <w:p w14:paraId="7A30379E">
      <w:pPr>
        <w:ind w:firstLine="640" w:firstLineChars="200"/>
        <w:jc w:val="left"/>
        <w:rPr>
          <w:rFonts w:ascii="仿宋_GB2312" w:eastAsia="仿宋_GB2312"/>
          <w:sz w:val="32"/>
          <w:szCs w:val="32"/>
        </w:rPr>
      </w:pPr>
      <w:r>
        <w:rPr>
          <w:rFonts w:hint="eastAsia" w:ascii="仿宋_GB2312" w:eastAsia="仿宋_GB2312"/>
          <w:sz w:val="32"/>
          <w:szCs w:val="32"/>
        </w:rPr>
        <w:t>2023年度支出总计922.99万元，其中：本年支出合计827.24万元，结余分配0.00万元，年末结转和结余95.75万元。</w:t>
      </w:r>
    </w:p>
    <w:p w14:paraId="26D293C6">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增加219.82万元</w:t>
      </w:r>
      <w:r>
        <w:rPr>
          <w:rFonts w:hint="eastAsia" w:ascii="仿宋_GB2312" w:eastAsia="仿宋_GB2312"/>
          <w:sz w:val="32"/>
          <w:szCs w:val="32"/>
        </w:rPr>
        <w:t>，增长31.26%，主要原因是：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中央财政产粮大县奖励金项目经费增加、窝驼泉煤矿安装监控视频及拉运红黏土</w:t>
      </w:r>
      <w:r>
        <w:rPr>
          <w:rFonts w:hint="eastAsia" w:ascii="仿宋_GB2312" w:eastAsia="仿宋_GB2312"/>
          <w:kern w:val="2"/>
          <w:sz w:val="32"/>
          <w:szCs w:val="32"/>
          <w:lang w:val="en-US" w:eastAsia="zh-CN"/>
        </w:rPr>
        <w:t>项目经费增加、应急面粉储备项目经费增加、农产品成本调查项目经费增加</w:t>
      </w:r>
      <w:r>
        <w:rPr>
          <w:rFonts w:hint="eastAsia" w:ascii="仿宋_GB2312" w:eastAsia="仿宋_GB2312"/>
          <w:sz w:val="32"/>
          <w:szCs w:val="32"/>
        </w:rPr>
        <w:t>。</w:t>
      </w:r>
    </w:p>
    <w:p w14:paraId="777BD1A4">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426820D">
      <w:pPr>
        <w:ind w:firstLine="640" w:firstLineChars="200"/>
        <w:jc w:val="left"/>
        <w:rPr>
          <w:rFonts w:ascii="仿宋_GB2312" w:eastAsia="仿宋_GB2312"/>
          <w:sz w:val="32"/>
          <w:szCs w:val="32"/>
        </w:rPr>
      </w:pPr>
      <w:r>
        <w:rPr>
          <w:rFonts w:hint="eastAsia" w:ascii="仿宋_GB2312" w:eastAsia="仿宋_GB2312"/>
          <w:sz w:val="32"/>
          <w:szCs w:val="32"/>
        </w:rPr>
        <w:t>本年收入922.99万元，其中：财政拨款收入</w:t>
      </w:r>
      <w:r>
        <w:rPr>
          <w:rFonts w:hint="eastAsia" w:ascii="仿宋_GB2312" w:eastAsia="仿宋_GB2312"/>
          <w:sz w:val="32"/>
          <w:szCs w:val="32"/>
          <w:lang w:val="zh-CN"/>
        </w:rPr>
        <w:t>775.46</w:t>
      </w:r>
      <w:r>
        <w:rPr>
          <w:rFonts w:hint="eastAsia" w:ascii="仿宋_GB2312" w:eastAsia="仿宋_GB2312"/>
          <w:sz w:val="32"/>
          <w:szCs w:val="32"/>
        </w:rPr>
        <w:t>万元，占</w:t>
      </w:r>
      <w:r>
        <w:rPr>
          <w:rFonts w:hint="eastAsia" w:ascii="仿宋_GB2312" w:eastAsia="仿宋_GB2312"/>
          <w:sz w:val="32"/>
          <w:szCs w:val="32"/>
          <w:lang w:val="zh-CN"/>
        </w:rPr>
        <w:t>84.02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147.5</w:t>
      </w:r>
      <w:r>
        <w:rPr>
          <w:rFonts w:hint="eastAsia" w:ascii="仿宋_GB2312" w:eastAsia="仿宋_GB2312"/>
          <w:sz w:val="32"/>
          <w:szCs w:val="32"/>
          <w:lang w:val="en-US" w:eastAsia="zh-CN"/>
        </w:rPr>
        <w:t>4</w:t>
      </w:r>
      <w:r>
        <w:rPr>
          <w:rFonts w:hint="eastAsia" w:ascii="仿宋_GB2312" w:eastAsia="仿宋_GB2312"/>
          <w:sz w:val="32"/>
          <w:szCs w:val="32"/>
        </w:rPr>
        <w:t>万元，占</w:t>
      </w:r>
      <w:r>
        <w:rPr>
          <w:rFonts w:hint="eastAsia" w:ascii="仿宋_GB2312" w:eastAsia="仿宋_GB2312"/>
          <w:sz w:val="32"/>
          <w:szCs w:val="32"/>
          <w:lang w:val="zh-CN"/>
        </w:rPr>
        <w:t>15.9</w:t>
      </w:r>
      <w:r>
        <w:rPr>
          <w:rFonts w:hint="eastAsia" w:ascii="仿宋_GB2312" w:eastAsia="仿宋_GB2312"/>
          <w:sz w:val="32"/>
          <w:szCs w:val="32"/>
          <w:lang w:val="en-US" w:eastAsia="zh-CN"/>
        </w:rPr>
        <w:t>9</w:t>
      </w:r>
      <w:r>
        <w:rPr>
          <w:rFonts w:hint="eastAsia" w:ascii="仿宋_GB2312" w:eastAsia="仿宋_GB2312"/>
          <w:sz w:val="32"/>
          <w:szCs w:val="32"/>
        </w:rPr>
        <w:t>%。</w:t>
      </w:r>
    </w:p>
    <w:p w14:paraId="3458282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5085A0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本年支出827.24万元，其中：基本支出536.12万元，占64.81%；项目支出291.</w:t>
      </w:r>
      <w:r>
        <w:rPr>
          <w:rFonts w:hint="eastAsia"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lang w:val="zh-CN"/>
        </w:rPr>
        <w:t>万元，占35.19%；上缴上级支出0.00万元，占0.00%；经营支出0.00万元，占0.00%；对附属单位补助支出0.00万元，占0.00%。</w:t>
      </w:r>
    </w:p>
    <w:p w14:paraId="1C7352F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F42374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775.46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775.46</w:t>
      </w:r>
      <w:r>
        <w:rPr>
          <w:rFonts w:hint="eastAsia" w:ascii="仿宋_GB2312" w:eastAsia="仿宋_GB2312"/>
          <w:sz w:val="32"/>
          <w:szCs w:val="32"/>
        </w:rPr>
        <w:t>万元。财政拨款支出总计</w:t>
      </w:r>
      <w:r>
        <w:rPr>
          <w:rFonts w:hint="eastAsia" w:ascii="仿宋_GB2312" w:eastAsia="仿宋_GB2312"/>
          <w:sz w:val="32"/>
          <w:szCs w:val="32"/>
          <w:lang w:val="zh-CN"/>
        </w:rPr>
        <w:t>775.46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775.46</w:t>
      </w:r>
      <w:r>
        <w:rPr>
          <w:rFonts w:hint="eastAsia" w:ascii="仿宋_GB2312" w:eastAsia="仿宋_GB2312"/>
          <w:sz w:val="32"/>
          <w:szCs w:val="32"/>
        </w:rPr>
        <w:t>万元。</w:t>
      </w:r>
    </w:p>
    <w:p w14:paraId="7A4E7F9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增加72.29万元</w:t>
      </w:r>
      <w:r>
        <w:rPr>
          <w:rFonts w:hint="eastAsia" w:ascii="仿宋_GB2312" w:eastAsia="仿宋_GB2312"/>
          <w:sz w:val="32"/>
          <w:szCs w:val="32"/>
        </w:rPr>
        <w:t>，增长10.28%,主要原因是：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中央财政产粮大县奖励金项目经费增加、窝驼泉煤矿安装监控视频及拉运红黏土</w:t>
      </w:r>
      <w:r>
        <w:rPr>
          <w:rFonts w:hint="eastAsia" w:ascii="仿宋_GB2312" w:eastAsia="仿宋_GB2312"/>
          <w:kern w:val="2"/>
          <w:sz w:val="32"/>
          <w:szCs w:val="32"/>
          <w:lang w:val="en-US" w:eastAsia="zh-CN"/>
        </w:rPr>
        <w:t>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976.95</w:t>
      </w:r>
      <w:r>
        <w:rPr>
          <w:rFonts w:hint="eastAsia" w:ascii="仿宋_GB2312" w:eastAsia="仿宋_GB2312"/>
          <w:sz w:val="32"/>
          <w:szCs w:val="32"/>
        </w:rPr>
        <w:t>万元，决算数</w:t>
      </w:r>
      <w:r>
        <w:rPr>
          <w:rFonts w:hint="eastAsia" w:ascii="仿宋_GB2312" w:eastAsia="仿宋_GB2312"/>
          <w:sz w:val="32"/>
          <w:szCs w:val="32"/>
          <w:lang w:val="zh-CN"/>
        </w:rPr>
        <w:t>775.46</w:t>
      </w:r>
      <w:r>
        <w:rPr>
          <w:rFonts w:hint="eastAsia" w:ascii="仿宋_GB2312" w:eastAsia="仿宋_GB2312"/>
          <w:sz w:val="32"/>
          <w:szCs w:val="32"/>
        </w:rPr>
        <w:t>万元，预决算差异率-20.62%，主要原因是：</w:t>
      </w:r>
      <w:r>
        <w:rPr>
          <w:rFonts w:hint="eastAsia" w:ascii="仿宋_GB2312" w:eastAsia="仿宋_GB2312"/>
          <w:sz w:val="32"/>
          <w:szCs w:val="32"/>
          <w:lang w:val="en-US" w:eastAsia="zh-CN"/>
        </w:rPr>
        <w:t>单位本年较预算</w:t>
      </w:r>
      <w:r>
        <w:rPr>
          <w:rFonts w:hint="eastAsia" w:eastAsia="仿宋_GB2312"/>
          <w:sz w:val="32"/>
          <w:szCs w:val="32"/>
          <w:lang w:val="zh-CN"/>
        </w:rPr>
        <w:t>减少</w:t>
      </w:r>
      <w:r>
        <w:rPr>
          <w:rFonts w:hint="eastAsia" w:ascii="仿宋_GB2312" w:eastAsia="仿宋_GB2312"/>
          <w:kern w:val="2"/>
          <w:sz w:val="32"/>
          <w:szCs w:val="32"/>
          <w:lang w:val="en-US" w:eastAsia="zh-CN"/>
        </w:rPr>
        <w:t>长聘</w:t>
      </w:r>
      <w:r>
        <w:rPr>
          <w:rFonts w:hint="eastAsia" w:ascii="仿宋_GB2312" w:eastAsia="仿宋_GB2312"/>
          <w:kern w:val="2"/>
          <w:sz w:val="32"/>
          <w:szCs w:val="32"/>
          <w:lang w:val="zh-CN"/>
        </w:rPr>
        <w:t>人员工资</w:t>
      </w:r>
      <w:r>
        <w:rPr>
          <w:rFonts w:hint="eastAsia" w:ascii="仿宋_GB2312" w:eastAsia="仿宋_GB2312"/>
          <w:kern w:val="2"/>
          <w:sz w:val="32"/>
          <w:szCs w:val="32"/>
          <w:lang w:val="en-US" w:eastAsia="zh-CN"/>
        </w:rPr>
        <w:t>福利费用，退休</w:t>
      </w:r>
      <w:r>
        <w:rPr>
          <w:rFonts w:hint="eastAsia" w:ascii="仿宋_GB2312" w:eastAsia="仿宋_GB2312"/>
          <w:kern w:val="2"/>
          <w:sz w:val="32"/>
          <w:szCs w:val="32"/>
          <w:lang w:val="zh-CN"/>
        </w:rPr>
        <w:t>人员</w:t>
      </w:r>
      <w:r>
        <w:rPr>
          <w:rFonts w:hint="eastAsia" w:ascii="仿宋_GB2312" w:eastAsia="仿宋_GB2312"/>
          <w:kern w:val="2"/>
          <w:sz w:val="32"/>
          <w:szCs w:val="32"/>
          <w:lang w:val="en-US" w:eastAsia="zh-CN"/>
        </w:rPr>
        <w:t>职业年金缴费</w:t>
      </w:r>
      <w:r>
        <w:rPr>
          <w:rFonts w:hint="eastAsia" w:ascii="仿宋_GB2312" w:eastAsia="仿宋_GB2312"/>
          <w:sz w:val="32"/>
          <w:szCs w:val="32"/>
        </w:rPr>
        <w:t>。</w:t>
      </w:r>
    </w:p>
    <w:p w14:paraId="3080DE67">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AE0F1A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2A3848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2023年度一般公共预算财政拨款支出775.46万元，占本年支出合计的</w:t>
      </w:r>
      <w:r>
        <w:rPr>
          <w:rFonts w:hint="eastAsia" w:ascii="仿宋_GB2312" w:eastAsia="仿宋_GB2312"/>
          <w:sz w:val="32"/>
          <w:szCs w:val="32"/>
          <w:lang w:val="zh-CN"/>
        </w:rPr>
        <w:t>93.74%</w:t>
      </w:r>
      <w:r>
        <w:rPr>
          <w:rFonts w:hint="eastAsia" w:ascii="仿宋_GB2312" w:eastAsia="仿宋_GB2312"/>
          <w:sz w:val="32"/>
          <w:szCs w:val="32"/>
        </w:rPr>
        <w:t>。与上年相比，</w:t>
      </w:r>
      <w:r>
        <w:rPr>
          <w:rFonts w:hint="eastAsia" w:ascii="仿宋_GB2312" w:eastAsia="仿宋_GB2312"/>
          <w:sz w:val="32"/>
          <w:szCs w:val="32"/>
          <w:lang w:val="zh-CN"/>
        </w:rPr>
        <w:t>增加72.29万元</w:t>
      </w:r>
      <w:r>
        <w:rPr>
          <w:rFonts w:hint="eastAsia" w:ascii="仿宋_GB2312" w:eastAsia="仿宋_GB2312"/>
          <w:sz w:val="32"/>
          <w:szCs w:val="32"/>
        </w:rPr>
        <w:t>，增长10.28%,主要原因是：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中央财政产粮大县奖励金项目经费增加、窝驼泉煤矿安装监控视频及拉运红黏土</w:t>
      </w:r>
      <w:r>
        <w:rPr>
          <w:rFonts w:hint="eastAsia" w:ascii="仿宋_GB2312" w:eastAsia="仿宋_GB2312"/>
          <w:kern w:val="2"/>
          <w:sz w:val="32"/>
          <w:szCs w:val="32"/>
          <w:lang w:val="en-US" w:eastAsia="zh-CN"/>
        </w:rPr>
        <w:t>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976.95</w:t>
      </w:r>
      <w:r>
        <w:rPr>
          <w:rFonts w:hint="eastAsia" w:ascii="仿宋_GB2312" w:eastAsia="仿宋_GB2312"/>
          <w:sz w:val="32"/>
          <w:szCs w:val="32"/>
        </w:rPr>
        <w:t>万元，决算数</w:t>
      </w:r>
      <w:r>
        <w:rPr>
          <w:rFonts w:hint="eastAsia" w:ascii="仿宋_GB2312" w:eastAsia="仿宋_GB2312"/>
          <w:sz w:val="32"/>
          <w:szCs w:val="32"/>
          <w:lang w:val="zh-CN"/>
        </w:rPr>
        <w:t>775.46</w:t>
      </w:r>
      <w:r>
        <w:rPr>
          <w:rFonts w:hint="eastAsia" w:ascii="仿宋_GB2312" w:eastAsia="仿宋_GB2312"/>
          <w:sz w:val="32"/>
          <w:szCs w:val="32"/>
        </w:rPr>
        <w:t>万元，预决算差异率</w:t>
      </w:r>
      <w:r>
        <w:rPr>
          <w:rFonts w:hint="eastAsia" w:ascii="仿宋_GB2312" w:eastAsia="仿宋_GB2312"/>
          <w:sz w:val="32"/>
          <w:szCs w:val="32"/>
          <w:lang w:val="zh-CN"/>
        </w:rPr>
        <w:t>-20.62%</w:t>
      </w:r>
      <w:r>
        <w:rPr>
          <w:rFonts w:hint="eastAsia" w:ascii="仿宋_GB2312" w:eastAsia="仿宋_GB2312"/>
          <w:sz w:val="32"/>
          <w:szCs w:val="32"/>
        </w:rPr>
        <w:t>，主要原因是：</w:t>
      </w:r>
      <w:r>
        <w:rPr>
          <w:rFonts w:hint="eastAsia" w:ascii="仿宋_GB2312" w:eastAsia="仿宋_GB2312"/>
          <w:sz w:val="32"/>
          <w:szCs w:val="32"/>
          <w:lang w:val="en-US" w:eastAsia="zh-CN"/>
        </w:rPr>
        <w:t>单位本年较预算</w:t>
      </w:r>
      <w:r>
        <w:rPr>
          <w:rFonts w:hint="eastAsia" w:eastAsia="仿宋_GB2312"/>
          <w:sz w:val="32"/>
          <w:szCs w:val="32"/>
          <w:lang w:val="zh-CN"/>
        </w:rPr>
        <w:t>减少</w:t>
      </w:r>
      <w:r>
        <w:rPr>
          <w:rFonts w:hint="eastAsia" w:ascii="仿宋_GB2312" w:eastAsia="仿宋_GB2312"/>
          <w:kern w:val="2"/>
          <w:sz w:val="32"/>
          <w:szCs w:val="32"/>
          <w:lang w:val="en-US" w:eastAsia="zh-CN"/>
        </w:rPr>
        <w:t>长聘</w:t>
      </w:r>
      <w:r>
        <w:rPr>
          <w:rFonts w:hint="eastAsia" w:ascii="仿宋_GB2312" w:eastAsia="仿宋_GB2312"/>
          <w:kern w:val="2"/>
          <w:sz w:val="32"/>
          <w:szCs w:val="32"/>
          <w:lang w:val="zh-CN"/>
        </w:rPr>
        <w:t>人员工资</w:t>
      </w:r>
      <w:r>
        <w:rPr>
          <w:rFonts w:hint="eastAsia" w:ascii="仿宋_GB2312" w:eastAsia="仿宋_GB2312"/>
          <w:kern w:val="2"/>
          <w:sz w:val="32"/>
          <w:szCs w:val="32"/>
          <w:lang w:val="en-US" w:eastAsia="zh-CN"/>
        </w:rPr>
        <w:t>福利费用，退休</w:t>
      </w:r>
      <w:r>
        <w:rPr>
          <w:rFonts w:hint="eastAsia" w:ascii="仿宋_GB2312" w:eastAsia="仿宋_GB2312"/>
          <w:kern w:val="2"/>
          <w:sz w:val="32"/>
          <w:szCs w:val="32"/>
          <w:lang w:val="zh-CN"/>
        </w:rPr>
        <w:t>人员</w:t>
      </w:r>
      <w:r>
        <w:rPr>
          <w:rFonts w:hint="eastAsia" w:ascii="仿宋_GB2312" w:eastAsia="仿宋_GB2312"/>
          <w:kern w:val="2"/>
          <w:sz w:val="32"/>
          <w:szCs w:val="32"/>
          <w:lang w:val="en-US" w:eastAsia="zh-CN"/>
        </w:rPr>
        <w:t>职业年金缴费</w:t>
      </w:r>
      <w:r>
        <w:rPr>
          <w:rFonts w:hint="eastAsia" w:ascii="仿宋_GB2312" w:eastAsia="仿宋_GB2312"/>
          <w:sz w:val="32"/>
          <w:szCs w:val="32"/>
        </w:rPr>
        <w:t>。</w:t>
      </w:r>
    </w:p>
    <w:p w14:paraId="561F5E3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C6D7E6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653.10</w:t>
      </w:r>
      <w:r>
        <w:rPr>
          <w:rFonts w:ascii="仿宋_GB2312" w:eastAsia="仿宋_GB2312"/>
          <w:kern w:val="2"/>
          <w:sz w:val="32"/>
          <w:szCs w:val="32"/>
          <w:lang w:val="zh-CN"/>
        </w:rPr>
        <w:t>万元，占</w:t>
      </w:r>
      <w:r>
        <w:rPr>
          <w:rFonts w:hint="eastAsia" w:ascii="仿宋_GB2312" w:eastAsia="仿宋_GB2312"/>
          <w:kern w:val="2"/>
          <w:sz w:val="32"/>
          <w:szCs w:val="32"/>
          <w:lang w:val="zh-CN"/>
        </w:rPr>
        <w:t>84.22</w:t>
      </w:r>
      <w:r>
        <w:rPr>
          <w:rFonts w:ascii="仿宋_GB2312" w:eastAsia="仿宋_GB2312"/>
          <w:kern w:val="2"/>
          <w:sz w:val="32"/>
          <w:szCs w:val="32"/>
          <w:lang w:val="zh-CN"/>
        </w:rPr>
        <w:t>%；</w:t>
      </w:r>
    </w:p>
    <w:p w14:paraId="2064C26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71.69</w:t>
      </w:r>
      <w:r>
        <w:rPr>
          <w:rFonts w:ascii="仿宋_GB2312" w:eastAsia="仿宋_GB2312"/>
          <w:kern w:val="2"/>
          <w:sz w:val="32"/>
          <w:szCs w:val="32"/>
          <w:lang w:val="zh-CN"/>
        </w:rPr>
        <w:t>万元，占</w:t>
      </w:r>
      <w:r>
        <w:rPr>
          <w:rFonts w:hint="eastAsia" w:ascii="仿宋_GB2312" w:eastAsia="仿宋_GB2312"/>
          <w:kern w:val="2"/>
          <w:sz w:val="32"/>
          <w:szCs w:val="32"/>
          <w:lang w:val="zh-CN"/>
        </w:rPr>
        <w:t>9.24</w:t>
      </w:r>
      <w:r>
        <w:rPr>
          <w:rFonts w:ascii="仿宋_GB2312" w:eastAsia="仿宋_GB2312"/>
          <w:kern w:val="2"/>
          <w:sz w:val="32"/>
          <w:szCs w:val="32"/>
          <w:lang w:val="zh-CN"/>
        </w:rPr>
        <w:t>%；</w:t>
      </w:r>
    </w:p>
    <w:p w14:paraId="5483071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34.14</w:t>
      </w:r>
      <w:r>
        <w:rPr>
          <w:rFonts w:ascii="仿宋_GB2312" w:eastAsia="仿宋_GB2312"/>
          <w:kern w:val="2"/>
          <w:sz w:val="32"/>
          <w:szCs w:val="32"/>
          <w:lang w:val="zh-CN"/>
        </w:rPr>
        <w:t>万元，占</w:t>
      </w:r>
      <w:r>
        <w:rPr>
          <w:rFonts w:hint="eastAsia" w:ascii="仿宋_GB2312" w:eastAsia="仿宋_GB2312"/>
          <w:kern w:val="2"/>
          <w:sz w:val="32"/>
          <w:szCs w:val="32"/>
          <w:lang w:val="zh-CN"/>
        </w:rPr>
        <w:t>4.40</w:t>
      </w:r>
      <w:r>
        <w:rPr>
          <w:rFonts w:ascii="仿宋_GB2312" w:eastAsia="仿宋_GB2312"/>
          <w:kern w:val="2"/>
          <w:sz w:val="32"/>
          <w:szCs w:val="32"/>
          <w:lang w:val="zh-CN"/>
        </w:rPr>
        <w:t>%；</w:t>
      </w:r>
    </w:p>
    <w:p w14:paraId="41B2F79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16.53</w:t>
      </w:r>
      <w:r>
        <w:rPr>
          <w:rFonts w:ascii="仿宋_GB2312" w:eastAsia="仿宋_GB2312"/>
          <w:kern w:val="2"/>
          <w:sz w:val="32"/>
          <w:szCs w:val="32"/>
          <w:lang w:val="zh-CN"/>
        </w:rPr>
        <w:t>万元，占</w:t>
      </w:r>
      <w:r>
        <w:rPr>
          <w:rFonts w:hint="eastAsia" w:ascii="仿宋_GB2312" w:eastAsia="仿宋_GB2312"/>
          <w:kern w:val="2"/>
          <w:sz w:val="32"/>
          <w:szCs w:val="32"/>
          <w:lang w:val="zh-CN"/>
        </w:rPr>
        <w:t>2.13%。</w:t>
      </w:r>
    </w:p>
    <w:p w14:paraId="09D1ECB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574236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1.一般公共服务支出（类）发展与改革事务（款）行政运行（项）:支出决算数为389.87万元，比上年决算减少24.7</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万元，下降5.97%，主要原因是：单位本年</w:t>
      </w:r>
      <w:r>
        <w:rPr>
          <w:rFonts w:hint="eastAsia" w:ascii="仿宋_GB2312" w:eastAsia="仿宋_GB2312"/>
          <w:kern w:val="2"/>
          <w:sz w:val="32"/>
          <w:szCs w:val="32"/>
          <w:lang w:val="en-US" w:eastAsia="zh-CN"/>
        </w:rPr>
        <w:t>长聘</w:t>
      </w:r>
      <w:r>
        <w:rPr>
          <w:rFonts w:hint="eastAsia" w:ascii="仿宋_GB2312" w:eastAsia="仿宋_GB2312"/>
          <w:kern w:val="2"/>
          <w:sz w:val="32"/>
          <w:szCs w:val="32"/>
          <w:lang w:val="zh-CN"/>
        </w:rPr>
        <w:t>人员工资</w:t>
      </w:r>
      <w:r>
        <w:rPr>
          <w:rFonts w:hint="eastAsia" w:ascii="仿宋_GB2312" w:eastAsia="仿宋_GB2312"/>
          <w:kern w:val="2"/>
          <w:sz w:val="32"/>
          <w:szCs w:val="32"/>
          <w:lang w:val="en-US" w:eastAsia="zh-CN"/>
        </w:rPr>
        <w:t>福利费用</w:t>
      </w:r>
      <w:r>
        <w:rPr>
          <w:rFonts w:hint="eastAsia" w:ascii="仿宋_GB2312" w:eastAsia="仿宋_GB2312"/>
          <w:kern w:val="2"/>
          <w:sz w:val="32"/>
          <w:szCs w:val="32"/>
          <w:lang w:val="zh-CN"/>
        </w:rPr>
        <w:t>减少。</w:t>
      </w:r>
    </w:p>
    <w:p w14:paraId="637EA28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2.住房保障支出（类）住房改革支出（款）住房公积金（项）:支出决算数为34.14万元，比上年决算增加1.6</w:t>
      </w:r>
      <w:r>
        <w:rPr>
          <w:rFonts w:hint="eastAsia" w:ascii="仿宋_GB2312" w:eastAsia="仿宋_GB2312"/>
          <w:kern w:val="2"/>
          <w:sz w:val="32"/>
          <w:szCs w:val="32"/>
          <w:lang w:val="en-US" w:eastAsia="zh-CN"/>
        </w:rPr>
        <w:t>9</w:t>
      </w:r>
      <w:r>
        <w:rPr>
          <w:rFonts w:hint="eastAsia" w:ascii="仿宋_GB2312" w:eastAsia="仿宋_GB2312"/>
          <w:kern w:val="2"/>
          <w:sz w:val="32"/>
          <w:szCs w:val="32"/>
          <w:lang w:val="zh-CN"/>
        </w:rPr>
        <w:t>万元，增长5.</w:t>
      </w:r>
      <w:r>
        <w:rPr>
          <w:rFonts w:hint="eastAsia" w:ascii="仿宋_GB2312" w:eastAsia="仿宋_GB2312"/>
          <w:kern w:val="2"/>
          <w:sz w:val="32"/>
          <w:szCs w:val="32"/>
          <w:lang w:val="en-US" w:eastAsia="zh-CN"/>
        </w:rPr>
        <w:t>21</w:t>
      </w:r>
      <w:r>
        <w:rPr>
          <w:rFonts w:hint="eastAsia" w:ascii="仿宋_GB2312" w:eastAsia="仿宋_GB2312"/>
          <w:kern w:val="2"/>
          <w:sz w:val="32"/>
          <w:szCs w:val="32"/>
          <w:lang w:val="zh-CN"/>
        </w:rPr>
        <w:t>%，主要原因是：本年单位人员增加，</w:t>
      </w:r>
      <w:r>
        <w:rPr>
          <w:rFonts w:hint="eastAsia" w:ascii="仿宋_GB2312" w:eastAsia="仿宋_GB2312"/>
          <w:kern w:val="2"/>
          <w:sz w:val="32"/>
          <w:szCs w:val="32"/>
          <w:lang w:val="en-US" w:eastAsia="zh-CN"/>
        </w:rPr>
        <w:t>人员</w:t>
      </w:r>
      <w:r>
        <w:rPr>
          <w:rFonts w:hint="eastAsia" w:ascii="仿宋_GB2312" w:eastAsia="仿宋_GB2312"/>
          <w:kern w:val="2"/>
          <w:sz w:val="32"/>
          <w:szCs w:val="32"/>
          <w:lang w:val="zh-CN"/>
        </w:rPr>
        <w:t>公积金缴费增加。</w:t>
      </w:r>
    </w:p>
    <w:p w14:paraId="0C2DB77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3.社会保障和就业支出（类）抚恤（款）死亡抚恤（项）:支出决算数为3.95万元，比上年决算减少58.6</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万元，下降93.</w:t>
      </w:r>
      <w:r>
        <w:rPr>
          <w:rFonts w:hint="eastAsia" w:ascii="仿宋_GB2312" w:eastAsia="仿宋_GB2312"/>
          <w:kern w:val="2"/>
          <w:sz w:val="32"/>
          <w:szCs w:val="32"/>
          <w:lang w:val="en-US" w:eastAsia="zh-CN"/>
        </w:rPr>
        <w:t>69</w:t>
      </w:r>
      <w:r>
        <w:rPr>
          <w:rFonts w:hint="eastAsia" w:ascii="仿宋_GB2312" w:eastAsia="仿宋_GB2312"/>
          <w:kern w:val="2"/>
          <w:sz w:val="32"/>
          <w:szCs w:val="32"/>
          <w:lang w:val="zh-CN"/>
        </w:rPr>
        <w:t>%，主要原因是：单位本年人员丧葬费、抚恤金补助较上年</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50E305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4.社会保障和就业支出（类）行政事业单位养老支出（款）行政单位离退休（项）:支出决算数为11.67万元，比上年决算增加6.12万元，增长110.</w:t>
      </w:r>
      <w:r>
        <w:rPr>
          <w:rFonts w:hint="eastAsia" w:ascii="仿宋_GB2312" w:eastAsia="仿宋_GB2312"/>
          <w:kern w:val="2"/>
          <w:sz w:val="32"/>
          <w:szCs w:val="32"/>
          <w:lang w:val="en-US" w:eastAsia="zh-CN"/>
        </w:rPr>
        <w:t>2</w:t>
      </w:r>
      <w:r>
        <w:rPr>
          <w:rFonts w:hint="eastAsia" w:ascii="仿宋_GB2312" w:eastAsia="仿宋_GB2312"/>
          <w:kern w:val="2"/>
          <w:sz w:val="32"/>
          <w:szCs w:val="32"/>
          <w:lang w:val="zh-CN"/>
        </w:rPr>
        <w:t>7%，主要原因是：单位本年</w:t>
      </w:r>
      <w:r>
        <w:rPr>
          <w:rFonts w:hint="eastAsia" w:ascii="仿宋_GB2312" w:eastAsia="仿宋_GB2312"/>
          <w:kern w:val="2"/>
          <w:sz w:val="32"/>
          <w:szCs w:val="32"/>
          <w:lang w:val="en-US" w:eastAsia="zh-CN"/>
        </w:rPr>
        <w:t>退休人</w:t>
      </w:r>
      <w:r>
        <w:rPr>
          <w:rFonts w:hint="eastAsia" w:ascii="仿宋_GB2312" w:eastAsia="仿宋_GB2312"/>
          <w:kern w:val="2"/>
          <w:sz w:val="32"/>
          <w:szCs w:val="32"/>
          <w:lang w:val="zh-CN"/>
        </w:rPr>
        <w:t>员</w:t>
      </w:r>
      <w:r>
        <w:rPr>
          <w:rFonts w:hint="eastAsia" w:ascii="仿宋_GB2312" w:eastAsia="仿宋_GB2312"/>
          <w:kern w:val="2"/>
          <w:sz w:val="32"/>
          <w:szCs w:val="32"/>
          <w:lang w:val="en-US" w:eastAsia="zh-CN"/>
        </w:rPr>
        <w:t>基础</w:t>
      </w:r>
      <w:r>
        <w:rPr>
          <w:rFonts w:hint="eastAsia" w:ascii="仿宋_GB2312" w:eastAsia="仿宋_GB2312"/>
          <w:kern w:val="2"/>
          <w:sz w:val="32"/>
          <w:szCs w:val="32"/>
          <w:lang w:val="zh-CN"/>
        </w:rPr>
        <w:t>绩效奖金增加。</w:t>
      </w:r>
    </w:p>
    <w:p w14:paraId="3055DF3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5.一般公共服务支出（类）发展与改革事务（款）其他发展与改革事务支出（项）:支出决算数为263.24万元，比上年决算增加151.7</w:t>
      </w:r>
      <w:r>
        <w:rPr>
          <w:rFonts w:hint="eastAsia" w:ascii="仿宋_GB2312" w:eastAsia="仿宋_GB2312"/>
          <w:kern w:val="2"/>
          <w:sz w:val="32"/>
          <w:szCs w:val="32"/>
          <w:lang w:val="en-US" w:eastAsia="zh-CN"/>
        </w:rPr>
        <w:t>8</w:t>
      </w:r>
      <w:r>
        <w:rPr>
          <w:rFonts w:hint="eastAsia" w:ascii="仿宋_GB2312" w:eastAsia="仿宋_GB2312"/>
          <w:kern w:val="2"/>
          <w:sz w:val="32"/>
          <w:szCs w:val="32"/>
          <w:lang w:val="zh-CN"/>
        </w:rPr>
        <w:t>万元，增长136.17%，主要原因是：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中央财政产粮大县奖励金项目经费增加、窝驼泉煤矿安装监控视频及拉运红黏土</w:t>
      </w:r>
      <w:r>
        <w:rPr>
          <w:rFonts w:hint="eastAsia" w:ascii="仿宋_GB2312" w:eastAsia="仿宋_GB2312"/>
          <w:kern w:val="2"/>
          <w:sz w:val="32"/>
          <w:szCs w:val="32"/>
          <w:lang w:val="en-US" w:eastAsia="zh-CN"/>
        </w:rPr>
        <w:t>项目经费增加、应急面粉储备项目经费增加、农产品成本调查项目经费增加</w:t>
      </w:r>
      <w:r>
        <w:rPr>
          <w:rFonts w:hint="eastAsia" w:ascii="仿宋_GB2312" w:eastAsia="仿宋_GB2312"/>
          <w:kern w:val="2"/>
          <w:sz w:val="32"/>
          <w:szCs w:val="32"/>
          <w:lang w:val="zh-CN"/>
        </w:rPr>
        <w:t>。</w:t>
      </w:r>
    </w:p>
    <w:p w14:paraId="69619FF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6.社会保障和就业支出（类）行政事业单位养老支出（款）机关事业单位职业年金缴费支出（项）:支出决算数为12.21万元，比上年决算减少7.7</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万元，下降38.8</w:t>
      </w:r>
      <w:r>
        <w:rPr>
          <w:rFonts w:hint="eastAsia" w:ascii="仿宋_GB2312" w:eastAsia="仿宋_GB2312"/>
          <w:kern w:val="2"/>
          <w:sz w:val="32"/>
          <w:szCs w:val="32"/>
          <w:lang w:val="en-US" w:eastAsia="zh-CN"/>
        </w:rPr>
        <w:t>3</w:t>
      </w:r>
      <w:r>
        <w:rPr>
          <w:rFonts w:hint="eastAsia" w:ascii="仿宋_GB2312" w:eastAsia="仿宋_GB2312"/>
          <w:kern w:val="2"/>
          <w:sz w:val="32"/>
          <w:szCs w:val="32"/>
          <w:lang w:val="zh-CN"/>
        </w:rPr>
        <w:t>%，主要原因是：本年单位</w:t>
      </w:r>
      <w:r>
        <w:rPr>
          <w:rFonts w:hint="eastAsia" w:ascii="仿宋_GB2312" w:eastAsia="仿宋_GB2312"/>
          <w:kern w:val="2"/>
          <w:sz w:val="32"/>
          <w:szCs w:val="32"/>
          <w:lang w:val="en-US" w:eastAsia="zh-CN"/>
        </w:rPr>
        <w:t>退休人员一次性</w:t>
      </w:r>
      <w:r>
        <w:rPr>
          <w:rFonts w:hint="eastAsia" w:ascii="仿宋_GB2312" w:eastAsia="仿宋_GB2312"/>
          <w:kern w:val="2"/>
          <w:sz w:val="32"/>
          <w:szCs w:val="32"/>
          <w:lang w:val="zh-CN"/>
        </w:rPr>
        <w:t>职业年金缴费减少。</w:t>
      </w:r>
    </w:p>
    <w:p w14:paraId="6142B62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7.其他支出（类）其他支出（款）其他支出（项）:支出决算数为16.53万元，比上年决算增加1.56万元，增长10.42%，主要原因是：单位</w:t>
      </w:r>
      <w:r>
        <w:rPr>
          <w:rFonts w:hint="eastAsia" w:ascii="仿宋_GB2312" w:eastAsia="仿宋_GB2312"/>
          <w:kern w:val="2"/>
          <w:sz w:val="32"/>
          <w:szCs w:val="32"/>
          <w:lang w:val="en-US" w:eastAsia="zh-CN"/>
        </w:rPr>
        <w:t>本年</w:t>
      </w:r>
      <w:r>
        <w:rPr>
          <w:rFonts w:hint="eastAsia" w:ascii="仿宋_GB2312" w:eastAsia="仿宋_GB2312"/>
          <w:kern w:val="2"/>
          <w:sz w:val="32"/>
          <w:szCs w:val="32"/>
          <w:lang w:val="zh-CN"/>
        </w:rPr>
        <w:t>为民办实事工作专项</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经费增加。</w:t>
      </w:r>
    </w:p>
    <w:p w14:paraId="5752AD7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8.社会保障和就业支出（类）行政事业单位养老支出（款）机关事业单位基本养老保险缴费支出（项）:支出决算数为43.86万元，比上年决算增加2.30万元，增长5.53%，主要原因是：</w:t>
      </w:r>
      <w:r>
        <w:rPr>
          <w:rFonts w:hint="eastAsia" w:ascii="仿宋_GB2312" w:eastAsia="仿宋_GB2312"/>
          <w:kern w:val="2"/>
          <w:sz w:val="32"/>
          <w:szCs w:val="32"/>
          <w:lang w:val="en-US" w:eastAsia="zh-CN"/>
        </w:rPr>
        <w:t>单位本年人员增加</w:t>
      </w:r>
      <w:r>
        <w:rPr>
          <w:rFonts w:hint="eastAsia" w:ascii="仿宋_GB2312" w:eastAsia="仿宋_GB2312"/>
          <w:kern w:val="2"/>
          <w:sz w:val="32"/>
          <w:szCs w:val="32"/>
          <w:lang w:val="zh-CN"/>
        </w:rPr>
        <w:t>，</w:t>
      </w:r>
      <w:r>
        <w:rPr>
          <w:rFonts w:hint="eastAsia" w:ascii="仿宋_GB2312" w:eastAsia="仿宋_GB2312"/>
          <w:kern w:val="2"/>
          <w:sz w:val="32"/>
          <w:szCs w:val="32"/>
          <w:lang w:val="en-US" w:eastAsia="zh-CN"/>
        </w:rPr>
        <w:t>人员</w:t>
      </w:r>
      <w:r>
        <w:rPr>
          <w:rFonts w:hint="eastAsia" w:ascii="仿宋_GB2312" w:eastAsia="仿宋_GB2312"/>
          <w:kern w:val="2"/>
          <w:sz w:val="32"/>
          <w:szCs w:val="32"/>
          <w:lang w:val="zh-CN"/>
        </w:rPr>
        <w:t>养老保险缴费增加。</w:t>
      </w:r>
    </w:p>
    <w:p w14:paraId="19D58A0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01CA8D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499.33万元，其中：人员经费484.57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6866E2A">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公用经费14.76万元，包括：办公费、印刷费、电费、邮电费、取暖费、差旅费、租赁费、工会经费、公务用车运行维护费、其他商品和服务支出。</w:t>
      </w:r>
    </w:p>
    <w:p w14:paraId="7E3D193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8FD82F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“三公”经费支出2.11万元，</w:t>
      </w:r>
      <w:r>
        <w:rPr>
          <w:rFonts w:hint="eastAsia" w:ascii="仿宋_GB2312" w:eastAsia="仿宋_GB2312"/>
          <w:sz w:val="32"/>
          <w:szCs w:val="32"/>
        </w:rPr>
        <w:t>比上年</w:t>
      </w:r>
      <w:r>
        <w:rPr>
          <w:rFonts w:hint="eastAsia" w:ascii="仿宋_GB2312" w:eastAsia="仿宋_GB2312"/>
          <w:sz w:val="32"/>
          <w:szCs w:val="32"/>
          <w:lang w:val="zh-CN"/>
        </w:rPr>
        <w:t>减少0.58万元，</w:t>
      </w:r>
      <w:r>
        <w:rPr>
          <w:rFonts w:hint="eastAsia" w:ascii="仿宋_GB2312" w:eastAsia="仿宋_GB2312"/>
          <w:sz w:val="32"/>
          <w:szCs w:val="32"/>
        </w:rPr>
        <w:t>下降21.56%,</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主要原因是：单位本年无此项经费；公务用车购置及运行维护费支出1.20万元，占56.87%，比上年减少0.58万元，</w:t>
      </w:r>
      <w:r>
        <w:rPr>
          <w:rFonts w:hint="eastAsia" w:ascii="仿宋_GB2312" w:eastAsia="仿宋_GB2312"/>
          <w:sz w:val="32"/>
          <w:szCs w:val="32"/>
        </w:rPr>
        <w:t>下降32.58%,</w:t>
      </w:r>
      <w:r>
        <w:rPr>
          <w:rFonts w:hint="eastAsia" w:ascii="仿宋_GB2312" w:eastAsia="仿宋_GB2312"/>
          <w:sz w:val="32"/>
          <w:szCs w:val="32"/>
          <w:lang w:val="zh-CN"/>
        </w:rPr>
        <w:t>主要原因是：绿色出行，车辆维修维护费、燃油费等减少；公务接待费支出0.91万元，占43.13%，比上年增加0.00万元，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与上年</w:t>
      </w:r>
      <w:r>
        <w:rPr>
          <w:rFonts w:hint="eastAsia" w:ascii="仿宋_GB2312" w:eastAsia="仿宋_GB2312"/>
          <w:sz w:val="32"/>
          <w:szCs w:val="32"/>
          <w:lang w:val="zh-CN"/>
        </w:rPr>
        <w:t>对比无差异。</w:t>
      </w:r>
    </w:p>
    <w:p w14:paraId="0096F1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9B455E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564FDEC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1.20万元，其中：公务用车购置费0.00万元，公务用车运行维护费1.20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1223A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公务接待费0.91万元，开支内容包括住宿费、餐费等。单位全年安排的国内公务接待23批次，231人次。</w:t>
      </w:r>
    </w:p>
    <w:p w14:paraId="291DDD6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预算数2.11万元，决算数2.11万元，预决算差异率0.00%，主要原因是：严格按照预算执行，预决算对比无差异。其中：因公出国（境）费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预算数0.91万元，决算数0.91万元，预决算差异率0.00%，主要原因是：严格按照预算执行，预决算对比无差异。</w:t>
      </w:r>
    </w:p>
    <w:p w14:paraId="79C3C68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6A5256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897D46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3BB546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4A27C23">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88140CD">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19FDC81">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发展和改革委员会（行政单位和参照公务员法管理事业单位）机关运行经费支出14.76万元，比上年减少30.24万元，下降67.20%，主要原因是：本年单位办公费、取暖费、公务用车运行维护费减少。</w:t>
      </w:r>
    </w:p>
    <w:p w14:paraId="0CDB072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9ADFED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2023年度政府采购支出总额243.65万元，其中：政府采购货物支出27.37万元、政府采购工程支出12.00万元、政府采购服务支出204.28万元。</w:t>
      </w:r>
    </w:p>
    <w:p w14:paraId="331572B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授予中小企业合同金额241.90万元，占政府采购支出总额的99.28</w:t>
      </w:r>
      <w:r>
        <w:rPr>
          <w:rFonts w:ascii="仿宋_GB2312" w:eastAsia="仿宋_GB2312"/>
          <w:sz w:val="32"/>
          <w:szCs w:val="32"/>
        </w:rPr>
        <w:t>%</w:t>
      </w:r>
      <w:r>
        <w:rPr>
          <w:rFonts w:hint="eastAsia" w:ascii="仿宋_GB2312" w:eastAsia="仿宋_GB2312"/>
          <w:sz w:val="32"/>
          <w:szCs w:val="32"/>
        </w:rPr>
        <w:t>，其中：授予小微企业合同金额239.53万元，占政府采购支出总额的98.31</w:t>
      </w:r>
      <w:r>
        <w:rPr>
          <w:rFonts w:ascii="仿宋_GB2312" w:eastAsia="仿宋_GB2312"/>
          <w:sz w:val="32"/>
          <w:szCs w:val="32"/>
        </w:rPr>
        <w:t>%</w:t>
      </w:r>
      <w:r>
        <w:rPr>
          <w:rFonts w:hint="eastAsia" w:ascii="仿宋_GB2312" w:eastAsia="仿宋_GB2312"/>
          <w:sz w:val="32"/>
          <w:szCs w:val="32"/>
        </w:rPr>
        <w:t>。</w:t>
      </w:r>
    </w:p>
    <w:p w14:paraId="58DF9C31">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577F459">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343.13万元，房屋1,234.80平方米，价值118.00万元。车辆2辆，价值37.81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val="zh-CN"/>
        </w:rPr>
        <w:t>业务用车</w:t>
      </w:r>
      <w:r>
        <w:rPr>
          <w:rFonts w:hint="eastAsia" w:ascii="仿宋_GB2312" w:eastAsia="仿宋_GB2312"/>
          <w:sz w:val="32"/>
          <w:szCs w:val="32"/>
        </w:rPr>
        <w:t>；单价100万元（含）以上设备（不含车辆）0台（套）。</w:t>
      </w:r>
    </w:p>
    <w:p w14:paraId="35E5A711">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646FB8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922.99</w:t>
      </w:r>
      <w:r>
        <w:rPr>
          <w:rFonts w:hint="eastAsia" w:ascii="仿宋_GB2312" w:eastAsia="仿宋_GB2312"/>
          <w:sz w:val="32"/>
          <w:szCs w:val="32"/>
        </w:rPr>
        <w:t>万元，实际执行总额</w:t>
      </w:r>
      <w:r>
        <w:rPr>
          <w:rFonts w:ascii="仿宋_GB2312" w:eastAsia="仿宋_GB2312"/>
          <w:sz w:val="32"/>
          <w:szCs w:val="32"/>
        </w:rPr>
        <w:t>827.24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数276.04万元，全年执行数276.04万元。预算绩效管理取得的成效：一是提升单位项目管理的执行力，以支出结果为导向，围绕功能目标统筹各项工作，在保障财政资金得到充分、有效、科学使用的同时，确保各类项目按既定目标实施，取得最好效果；</w:t>
      </w:r>
      <w:r>
        <w:rPr>
          <w:rFonts w:hint="eastAsia" w:ascii="仿宋_GB2312" w:eastAsia="仿宋_GB2312"/>
          <w:kern w:val="0"/>
          <w:sz w:val="32"/>
        </w:rPr>
        <w:t>二是进一步加强项目管理和协调服务，全力推进项目建设。推行月报支付，进一步</w:t>
      </w:r>
      <w:r>
        <w:rPr>
          <w:rFonts w:hint="eastAsia" w:ascii="仿宋_GB2312" w:eastAsia="仿宋_GB2312"/>
          <w:kern w:val="0"/>
          <w:sz w:val="32"/>
          <w:lang w:eastAsia="zh-CN"/>
        </w:rPr>
        <w:t>加大</w:t>
      </w:r>
      <w:r>
        <w:rPr>
          <w:rFonts w:hint="eastAsia" w:ascii="仿宋_GB2312" w:eastAsia="仿宋_GB2312"/>
          <w:kern w:val="0"/>
          <w:sz w:val="32"/>
        </w:rPr>
        <w:t>项目监管力度。每月定期督查项目投资进度、工程进度、资金来源和使用等推进情况，实行动态监管</w:t>
      </w:r>
      <w:r>
        <w:rPr>
          <w:rFonts w:hint="eastAsia" w:ascii="仿宋_GB2312" w:eastAsia="仿宋_GB2312"/>
          <w:sz w:val="32"/>
          <w:szCs w:val="32"/>
        </w:rPr>
        <w:t>。发现的问题及原因：</w:t>
      </w:r>
      <w:r>
        <w:rPr>
          <w:rFonts w:hint="eastAsia" w:ascii="仿宋_GB2312" w:eastAsia="仿宋_GB2312"/>
          <w:kern w:val="0"/>
          <w:sz w:val="32"/>
        </w:rPr>
        <w:t>一是由于我县财务薄弱，项目前期费无法按照相关文件要求足额拨付，对我县项目工作的进展有一定的影响；二是根据改革要求，我单位业务职能不断增加，经费</w:t>
      </w:r>
      <w:r>
        <w:rPr>
          <w:rFonts w:hint="eastAsia" w:ascii="仿宋_GB2312" w:eastAsia="仿宋_GB2312"/>
          <w:sz w:val="32"/>
        </w:rPr>
        <w:t>控制有一定难度，基本为刚性支出</w:t>
      </w:r>
      <w:r>
        <w:rPr>
          <w:rFonts w:hint="eastAsia" w:ascii="仿宋_GB2312" w:eastAsia="仿宋_GB2312"/>
          <w:sz w:val="32"/>
          <w:szCs w:val="32"/>
        </w:rPr>
        <w:t>。下一步改进措施：</w:t>
      </w:r>
      <w:r>
        <w:rPr>
          <w:rFonts w:hint="eastAsia" w:ascii="仿宋_GB2312" w:eastAsia="仿宋_GB2312"/>
          <w:kern w:val="0"/>
          <w:sz w:val="32"/>
        </w:rPr>
        <w:t>一是</w:t>
      </w:r>
      <w:r>
        <w:rPr>
          <w:rFonts w:hint="eastAsia" w:ascii="仿宋_GB2312" w:eastAsia="仿宋_GB2312"/>
          <w:sz w:val="32"/>
        </w:rPr>
        <w:t>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hint="eastAsia" w:ascii="仿宋_GB2312" w:eastAsia="仿宋_GB2312"/>
          <w:sz w:val="32"/>
          <w:szCs w:val="32"/>
        </w:rPr>
        <w:t>。具体项目自评情况附绩效自评表及自评报告。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32"/>
        <w:gridCol w:w="1184"/>
        <w:gridCol w:w="1773"/>
        <w:gridCol w:w="994"/>
        <w:gridCol w:w="2291"/>
        <w:gridCol w:w="416"/>
        <w:gridCol w:w="616"/>
        <w:gridCol w:w="416"/>
      </w:tblGrid>
      <w:tr w14:paraId="203C2665">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C2B9D3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C605C10">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E99C67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B71F1CF">
        <w:tblPrEx>
          <w:tblCellMar>
            <w:top w:w="0" w:type="dxa"/>
            <w:left w:w="108" w:type="dxa"/>
            <w:bottom w:w="0" w:type="dxa"/>
            <w:right w:w="108" w:type="dxa"/>
          </w:tblCellMar>
        </w:tblPrEx>
        <w:trPr>
          <w:trHeight w:val="660"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B8A390">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690" w:type="dxa"/>
            <w:gridSpan w:val="7"/>
            <w:tcBorders>
              <w:top w:val="single" w:color="auto" w:sz="4" w:space="0"/>
              <w:left w:val="nil"/>
              <w:bottom w:val="single" w:color="auto" w:sz="4" w:space="0"/>
              <w:right w:val="single" w:color="auto" w:sz="4" w:space="0"/>
            </w:tcBorders>
            <w:shd w:val="clear" w:color="auto" w:fill="auto"/>
            <w:noWrap/>
            <w:vAlign w:val="center"/>
          </w:tcPr>
          <w:p w14:paraId="5167854E">
            <w:pPr>
              <w:widowControl/>
              <w:jc w:val="center"/>
              <w:rPr>
                <w:rFonts w:hint="default" w:ascii="宋体" w:hAnsi="宋体" w:cs="宋体"/>
                <w:kern w:val="0"/>
                <w:sz w:val="20"/>
                <w:szCs w:val="20"/>
                <w:lang w:val="en-US"/>
              </w:rPr>
            </w:pPr>
            <w:r>
              <w:rPr>
                <w:rFonts w:hint="eastAsia" w:ascii="宋体" w:hAnsi="宋体" w:cs="宋体"/>
                <w:kern w:val="0"/>
                <w:sz w:val="20"/>
                <w:szCs w:val="20"/>
                <w:lang w:val="en-US" w:eastAsia="zh-CN"/>
              </w:rPr>
              <w:t>木垒哈萨克自治</w:t>
            </w:r>
            <w:r>
              <w:rPr>
                <w:rFonts w:hint="eastAsia" w:ascii="宋体" w:hAnsi="宋体" w:cs="宋体"/>
                <w:kern w:val="0"/>
                <w:sz w:val="20"/>
                <w:szCs w:val="20"/>
              </w:rPr>
              <w:t>县</w:t>
            </w:r>
            <w:r>
              <w:rPr>
                <w:rFonts w:hint="eastAsia" w:ascii="宋体" w:hAnsi="宋体" w:cs="宋体"/>
                <w:kern w:val="0"/>
                <w:sz w:val="20"/>
                <w:szCs w:val="20"/>
                <w:lang w:val="en-US" w:eastAsia="zh-CN"/>
              </w:rPr>
              <w:t>发展和改革委员会</w:t>
            </w:r>
          </w:p>
        </w:tc>
      </w:tr>
      <w:tr w14:paraId="7DD34938">
        <w:tblPrEx>
          <w:tblCellMar>
            <w:top w:w="0" w:type="dxa"/>
            <w:left w:w="108" w:type="dxa"/>
            <w:bottom w:w="0" w:type="dxa"/>
            <w:right w:w="108" w:type="dxa"/>
          </w:tblCellMar>
        </w:tblPrEx>
        <w:trPr>
          <w:trHeight w:val="570"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637F7">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84" w:type="dxa"/>
            <w:tcBorders>
              <w:top w:val="nil"/>
              <w:left w:val="nil"/>
              <w:bottom w:val="single" w:color="auto" w:sz="4" w:space="0"/>
              <w:right w:val="single" w:color="auto" w:sz="4" w:space="0"/>
            </w:tcBorders>
            <w:shd w:val="clear" w:color="auto" w:fill="auto"/>
            <w:vAlign w:val="center"/>
          </w:tcPr>
          <w:p w14:paraId="5FADC72F">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773" w:type="dxa"/>
            <w:tcBorders>
              <w:top w:val="nil"/>
              <w:left w:val="nil"/>
              <w:bottom w:val="single" w:color="auto" w:sz="4" w:space="0"/>
              <w:right w:val="single" w:color="auto" w:sz="4" w:space="0"/>
            </w:tcBorders>
            <w:shd w:val="clear" w:color="auto" w:fill="auto"/>
            <w:vAlign w:val="center"/>
          </w:tcPr>
          <w:p w14:paraId="28BF48B7">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94" w:type="dxa"/>
            <w:tcBorders>
              <w:top w:val="nil"/>
              <w:left w:val="nil"/>
              <w:bottom w:val="single" w:color="auto" w:sz="4" w:space="0"/>
              <w:right w:val="single" w:color="auto" w:sz="4" w:space="0"/>
            </w:tcBorders>
            <w:shd w:val="clear" w:color="auto" w:fill="auto"/>
            <w:vAlign w:val="center"/>
          </w:tcPr>
          <w:p w14:paraId="4D556AD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2291" w:type="dxa"/>
            <w:tcBorders>
              <w:top w:val="nil"/>
              <w:left w:val="nil"/>
              <w:bottom w:val="single" w:color="auto" w:sz="4" w:space="0"/>
              <w:right w:val="single" w:color="auto" w:sz="4" w:space="0"/>
            </w:tcBorders>
            <w:shd w:val="clear" w:color="auto" w:fill="auto"/>
            <w:vAlign w:val="center"/>
          </w:tcPr>
          <w:p w14:paraId="60F1D769">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16" w:type="dxa"/>
            <w:tcBorders>
              <w:top w:val="nil"/>
              <w:left w:val="nil"/>
              <w:bottom w:val="single" w:color="auto" w:sz="4" w:space="0"/>
              <w:right w:val="single" w:color="auto" w:sz="4" w:space="0"/>
            </w:tcBorders>
            <w:shd w:val="clear" w:color="auto" w:fill="auto"/>
            <w:vAlign w:val="center"/>
          </w:tcPr>
          <w:p w14:paraId="38E1AE4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44E809E0">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6" w:type="dxa"/>
            <w:tcBorders>
              <w:top w:val="nil"/>
              <w:left w:val="nil"/>
              <w:bottom w:val="single" w:color="auto" w:sz="4" w:space="0"/>
              <w:right w:val="single" w:color="auto" w:sz="4" w:space="0"/>
            </w:tcBorders>
            <w:shd w:val="clear" w:color="auto" w:fill="auto"/>
            <w:vAlign w:val="center"/>
          </w:tcPr>
          <w:p w14:paraId="14CFAAA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1F6B8F0">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DACE726">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noWrap/>
            <w:vAlign w:val="center"/>
          </w:tcPr>
          <w:p w14:paraId="5D2C75BE">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773" w:type="dxa"/>
            <w:tcBorders>
              <w:top w:val="nil"/>
              <w:left w:val="nil"/>
              <w:bottom w:val="single" w:color="auto" w:sz="4" w:space="0"/>
              <w:right w:val="single" w:color="auto" w:sz="4" w:space="0"/>
            </w:tcBorders>
            <w:shd w:val="clear" w:color="auto" w:fill="auto"/>
            <w:vAlign w:val="center"/>
          </w:tcPr>
          <w:p w14:paraId="0DADEB2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14:paraId="64238EB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2291" w:type="dxa"/>
            <w:tcBorders>
              <w:top w:val="nil"/>
              <w:left w:val="nil"/>
              <w:bottom w:val="single" w:color="auto" w:sz="4" w:space="0"/>
              <w:right w:val="single" w:color="auto" w:sz="4" w:space="0"/>
            </w:tcBorders>
            <w:shd w:val="clear" w:color="auto" w:fill="auto"/>
            <w:vAlign w:val="center"/>
          </w:tcPr>
          <w:p w14:paraId="4327B26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14:paraId="64F375F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6B01D4E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14:paraId="4050AC8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50EBAC9">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121B47E">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25160F6E">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773" w:type="dxa"/>
            <w:tcBorders>
              <w:top w:val="nil"/>
              <w:left w:val="nil"/>
              <w:bottom w:val="single" w:color="auto" w:sz="4" w:space="0"/>
              <w:right w:val="single" w:color="auto" w:sz="4" w:space="0"/>
            </w:tcBorders>
            <w:shd w:val="clear" w:color="auto" w:fill="auto"/>
            <w:vAlign w:val="center"/>
          </w:tcPr>
          <w:p w14:paraId="5A5AB7A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14:paraId="6543EFC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2291" w:type="dxa"/>
            <w:tcBorders>
              <w:top w:val="nil"/>
              <w:left w:val="nil"/>
              <w:bottom w:val="single" w:color="auto" w:sz="4" w:space="0"/>
              <w:right w:val="single" w:color="auto" w:sz="4" w:space="0"/>
            </w:tcBorders>
            <w:shd w:val="clear" w:color="auto" w:fill="auto"/>
            <w:vAlign w:val="center"/>
          </w:tcPr>
          <w:p w14:paraId="7A51D5D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14:paraId="3086912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357C11A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73BD6D1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F86BECE">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61208A1C">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385F2CE3">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773" w:type="dxa"/>
            <w:tcBorders>
              <w:top w:val="nil"/>
              <w:left w:val="nil"/>
              <w:bottom w:val="single" w:color="auto" w:sz="4" w:space="0"/>
              <w:right w:val="single" w:color="auto" w:sz="4" w:space="0"/>
            </w:tcBorders>
            <w:shd w:val="clear" w:color="auto" w:fill="auto"/>
            <w:vAlign w:val="center"/>
          </w:tcPr>
          <w:p w14:paraId="3649DCB4">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994" w:type="dxa"/>
            <w:tcBorders>
              <w:top w:val="nil"/>
              <w:left w:val="nil"/>
              <w:bottom w:val="single" w:color="auto" w:sz="4" w:space="0"/>
              <w:right w:val="single" w:color="auto" w:sz="4" w:space="0"/>
            </w:tcBorders>
            <w:shd w:val="clear" w:color="auto" w:fill="auto"/>
            <w:vAlign w:val="center"/>
          </w:tcPr>
          <w:p w14:paraId="4AA4AFDE">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2291" w:type="dxa"/>
            <w:tcBorders>
              <w:top w:val="nil"/>
              <w:left w:val="nil"/>
              <w:bottom w:val="single" w:color="auto" w:sz="4" w:space="0"/>
              <w:right w:val="single" w:color="auto" w:sz="4" w:space="0"/>
            </w:tcBorders>
            <w:shd w:val="clear" w:color="auto" w:fill="auto"/>
            <w:vAlign w:val="center"/>
          </w:tcPr>
          <w:p w14:paraId="2AFBC69E">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416" w:type="dxa"/>
            <w:tcBorders>
              <w:top w:val="nil"/>
              <w:left w:val="nil"/>
              <w:bottom w:val="single" w:color="auto" w:sz="4" w:space="0"/>
              <w:right w:val="single" w:color="auto" w:sz="4" w:space="0"/>
            </w:tcBorders>
            <w:shd w:val="clear" w:color="auto" w:fill="auto"/>
            <w:vAlign w:val="center"/>
          </w:tcPr>
          <w:p w14:paraId="17FF759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3E4FD63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17D8B43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C795F08">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1F52C559">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45699902">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773" w:type="dxa"/>
            <w:tcBorders>
              <w:top w:val="nil"/>
              <w:left w:val="nil"/>
              <w:bottom w:val="single" w:color="auto" w:sz="4" w:space="0"/>
              <w:right w:val="single" w:color="auto" w:sz="4" w:space="0"/>
            </w:tcBorders>
            <w:shd w:val="clear" w:color="auto" w:fill="auto"/>
            <w:vAlign w:val="center"/>
          </w:tcPr>
          <w:p w14:paraId="7F1FCBF9">
            <w:pPr>
              <w:widowControl/>
              <w:jc w:val="center"/>
              <w:rPr>
                <w:rFonts w:hint="eastAsia" w:ascii="宋体" w:hAnsi="宋体" w:cs="宋体"/>
                <w:kern w:val="0"/>
                <w:sz w:val="20"/>
                <w:szCs w:val="20"/>
              </w:rPr>
            </w:pPr>
            <w:r>
              <w:rPr>
                <w:rFonts w:hint="eastAsia" w:ascii="宋体" w:hAnsi="宋体" w:cs="宋体"/>
                <w:kern w:val="0"/>
                <w:sz w:val="20"/>
                <w:szCs w:val="20"/>
              </w:rPr>
              <w:t>970.95</w:t>
            </w:r>
          </w:p>
        </w:tc>
        <w:tc>
          <w:tcPr>
            <w:tcW w:w="994" w:type="dxa"/>
            <w:tcBorders>
              <w:top w:val="nil"/>
              <w:left w:val="nil"/>
              <w:bottom w:val="single" w:color="auto" w:sz="4" w:space="0"/>
              <w:right w:val="single" w:color="auto" w:sz="4" w:space="0"/>
            </w:tcBorders>
            <w:shd w:val="clear" w:color="auto" w:fill="auto"/>
            <w:vAlign w:val="center"/>
          </w:tcPr>
          <w:p w14:paraId="01E0FF08">
            <w:pPr>
              <w:widowControl/>
              <w:jc w:val="center"/>
              <w:rPr>
                <w:rFonts w:hint="eastAsia" w:ascii="宋体" w:hAnsi="宋体" w:cs="宋体"/>
                <w:kern w:val="0"/>
                <w:sz w:val="20"/>
                <w:szCs w:val="20"/>
              </w:rPr>
            </w:pPr>
            <w:r>
              <w:rPr>
                <w:rFonts w:hint="eastAsia" w:ascii="宋体" w:hAnsi="宋体" w:cs="宋体"/>
                <w:kern w:val="0"/>
                <w:sz w:val="20"/>
                <w:szCs w:val="20"/>
              </w:rPr>
              <w:t>772.46</w:t>
            </w:r>
          </w:p>
        </w:tc>
        <w:tc>
          <w:tcPr>
            <w:tcW w:w="2291" w:type="dxa"/>
            <w:tcBorders>
              <w:top w:val="nil"/>
              <w:left w:val="nil"/>
              <w:bottom w:val="single" w:color="auto" w:sz="4" w:space="0"/>
              <w:right w:val="single" w:color="auto" w:sz="4" w:space="0"/>
            </w:tcBorders>
            <w:shd w:val="clear" w:color="auto" w:fill="auto"/>
            <w:vAlign w:val="center"/>
          </w:tcPr>
          <w:p w14:paraId="2FA474DA">
            <w:pPr>
              <w:widowControl/>
              <w:jc w:val="center"/>
              <w:rPr>
                <w:rFonts w:hint="eastAsia" w:ascii="宋体" w:hAnsi="宋体" w:cs="宋体"/>
                <w:kern w:val="0"/>
                <w:sz w:val="20"/>
                <w:szCs w:val="20"/>
              </w:rPr>
            </w:pPr>
            <w:r>
              <w:rPr>
                <w:rFonts w:hint="eastAsia" w:ascii="宋体" w:hAnsi="宋体" w:cs="宋体"/>
                <w:kern w:val="0"/>
                <w:sz w:val="20"/>
                <w:szCs w:val="20"/>
              </w:rPr>
              <w:t>772.46</w:t>
            </w:r>
          </w:p>
        </w:tc>
        <w:tc>
          <w:tcPr>
            <w:tcW w:w="416" w:type="dxa"/>
            <w:tcBorders>
              <w:top w:val="nil"/>
              <w:left w:val="nil"/>
              <w:bottom w:val="single" w:color="auto" w:sz="4" w:space="0"/>
              <w:right w:val="single" w:color="auto" w:sz="4" w:space="0"/>
            </w:tcBorders>
            <w:shd w:val="clear" w:color="auto" w:fill="auto"/>
            <w:vAlign w:val="center"/>
          </w:tcPr>
          <w:p w14:paraId="5323A9B6">
            <w:pPr>
              <w:widowControl/>
              <w:jc w:val="center"/>
              <w:rPr>
                <w:rFonts w:hint="eastAsia" w:ascii="宋体" w:hAnsi="宋体" w:cs="宋体"/>
                <w:kern w:val="0"/>
                <w:sz w:val="20"/>
                <w:szCs w:val="20"/>
              </w:rPr>
            </w:pPr>
            <w:r>
              <w:rPr>
                <w:rFonts w:hint="eastAsia"/>
              </w:rPr>
              <w:t>-</w:t>
            </w:r>
          </w:p>
        </w:tc>
        <w:tc>
          <w:tcPr>
            <w:tcW w:w="616" w:type="dxa"/>
            <w:tcBorders>
              <w:top w:val="nil"/>
              <w:left w:val="nil"/>
              <w:bottom w:val="single" w:color="auto" w:sz="4" w:space="0"/>
              <w:right w:val="single" w:color="auto" w:sz="4" w:space="0"/>
            </w:tcBorders>
            <w:shd w:val="clear" w:color="auto" w:fill="auto"/>
            <w:vAlign w:val="center"/>
          </w:tcPr>
          <w:p w14:paraId="1A3285C8">
            <w:pPr>
              <w:widowControl/>
              <w:jc w:val="center"/>
              <w:rPr>
                <w:rFonts w:hint="eastAsia" w:ascii="宋体" w:hAnsi="宋体" w:cs="宋体"/>
                <w:kern w:val="0"/>
                <w:sz w:val="20"/>
                <w:szCs w:val="20"/>
              </w:rPr>
            </w:pPr>
            <w:r>
              <w:rPr>
                <w:rFonts w:hint="eastAsia"/>
              </w:rPr>
              <w:t>-</w:t>
            </w:r>
          </w:p>
        </w:tc>
        <w:tc>
          <w:tcPr>
            <w:tcW w:w="416" w:type="dxa"/>
            <w:tcBorders>
              <w:top w:val="nil"/>
              <w:left w:val="nil"/>
              <w:bottom w:val="single" w:color="auto" w:sz="4" w:space="0"/>
              <w:right w:val="single" w:color="auto" w:sz="4" w:space="0"/>
            </w:tcBorders>
            <w:shd w:val="clear" w:color="auto" w:fill="auto"/>
            <w:vAlign w:val="center"/>
          </w:tcPr>
          <w:p w14:paraId="1F431B41">
            <w:pPr>
              <w:widowControl/>
              <w:jc w:val="center"/>
              <w:rPr>
                <w:rFonts w:hint="eastAsia" w:ascii="宋体" w:hAnsi="宋体" w:cs="宋体"/>
                <w:kern w:val="0"/>
                <w:sz w:val="20"/>
                <w:szCs w:val="20"/>
              </w:rPr>
            </w:pPr>
            <w:r>
              <w:rPr>
                <w:rFonts w:hint="eastAsia"/>
              </w:rPr>
              <w:t>-</w:t>
            </w:r>
          </w:p>
        </w:tc>
      </w:tr>
      <w:tr w14:paraId="394B94EA">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073FAE9F">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311AAED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773" w:type="dxa"/>
            <w:tcBorders>
              <w:top w:val="nil"/>
              <w:left w:val="nil"/>
              <w:bottom w:val="single" w:color="auto" w:sz="4" w:space="0"/>
              <w:right w:val="single" w:color="auto" w:sz="4" w:space="0"/>
            </w:tcBorders>
            <w:shd w:val="clear" w:color="auto" w:fill="auto"/>
            <w:vAlign w:val="center"/>
          </w:tcPr>
          <w:p w14:paraId="67B2B7A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14:paraId="4E3CBFC3">
            <w:pPr>
              <w:widowControl/>
              <w:jc w:val="center"/>
              <w:rPr>
                <w:rFonts w:hint="eastAsia" w:ascii="宋体" w:hAnsi="宋体" w:cs="宋体"/>
                <w:kern w:val="0"/>
                <w:sz w:val="20"/>
                <w:szCs w:val="20"/>
              </w:rPr>
            </w:pPr>
            <w:r>
              <w:rPr>
                <w:rFonts w:hint="eastAsia" w:ascii="宋体" w:hAnsi="宋体" w:cs="宋体"/>
                <w:kern w:val="0"/>
                <w:sz w:val="20"/>
                <w:szCs w:val="20"/>
              </w:rPr>
              <w:t>147.53</w:t>
            </w:r>
          </w:p>
        </w:tc>
        <w:tc>
          <w:tcPr>
            <w:tcW w:w="2291" w:type="dxa"/>
            <w:tcBorders>
              <w:top w:val="nil"/>
              <w:left w:val="nil"/>
              <w:bottom w:val="single" w:color="auto" w:sz="4" w:space="0"/>
              <w:right w:val="single" w:color="auto" w:sz="4" w:space="0"/>
            </w:tcBorders>
            <w:shd w:val="clear" w:color="auto" w:fill="auto"/>
            <w:vAlign w:val="center"/>
          </w:tcPr>
          <w:p w14:paraId="0B956EDD">
            <w:pPr>
              <w:widowControl/>
              <w:jc w:val="center"/>
              <w:rPr>
                <w:rFonts w:hint="eastAsia" w:ascii="宋体" w:hAnsi="宋体" w:cs="宋体"/>
                <w:kern w:val="0"/>
                <w:sz w:val="20"/>
                <w:szCs w:val="20"/>
              </w:rPr>
            </w:pPr>
            <w:r>
              <w:rPr>
                <w:rFonts w:hint="eastAsia" w:ascii="宋体" w:hAnsi="宋体" w:cs="宋体"/>
                <w:kern w:val="0"/>
                <w:sz w:val="20"/>
                <w:szCs w:val="20"/>
              </w:rPr>
              <w:t>51.78</w:t>
            </w:r>
          </w:p>
        </w:tc>
        <w:tc>
          <w:tcPr>
            <w:tcW w:w="416" w:type="dxa"/>
            <w:tcBorders>
              <w:top w:val="nil"/>
              <w:left w:val="nil"/>
              <w:bottom w:val="single" w:color="auto" w:sz="4" w:space="0"/>
              <w:right w:val="single" w:color="auto" w:sz="4" w:space="0"/>
            </w:tcBorders>
            <w:shd w:val="clear" w:color="auto" w:fill="auto"/>
            <w:vAlign w:val="center"/>
          </w:tcPr>
          <w:p w14:paraId="7ECAD1A6">
            <w:pPr>
              <w:widowControl/>
              <w:jc w:val="center"/>
              <w:rPr>
                <w:rFonts w:hint="eastAsia" w:ascii="宋体" w:hAnsi="宋体" w:cs="宋体"/>
                <w:kern w:val="0"/>
                <w:sz w:val="20"/>
                <w:szCs w:val="20"/>
              </w:rPr>
            </w:pPr>
            <w:r>
              <w:rPr>
                <w:rFonts w:hint="eastAsia"/>
              </w:rPr>
              <w:t>-</w:t>
            </w:r>
          </w:p>
        </w:tc>
        <w:tc>
          <w:tcPr>
            <w:tcW w:w="616" w:type="dxa"/>
            <w:tcBorders>
              <w:top w:val="nil"/>
              <w:left w:val="nil"/>
              <w:bottom w:val="single" w:color="auto" w:sz="4" w:space="0"/>
              <w:right w:val="single" w:color="auto" w:sz="4" w:space="0"/>
            </w:tcBorders>
            <w:shd w:val="clear" w:color="auto" w:fill="auto"/>
            <w:vAlign w:val="center"/>
          </w:tcPr>
          <w:p w14:paraId="45D9C471">
            <w:pPr>
              <w:widowControl/>
              <w:jc w:val="center"/>
              <w:rPr>
                <w:rFonts w:hint="eastAsia" w:ascii="宋体" w:hAnsi="宋体" w:cs="宋体"/>
                <w:kern w:val="0"/>
                <w:sz w:val="20"/>
                <w:szCs w:val="20"/>
              </w:rPr>
            </w:pPr>
            <w:r>
              <w:rPr>
                <w:rFonts w:hint="eastAsia"/>
              </w:rPr>
              <w:t>-</w:t>
            </w:r>
          </w:p>
        </w:tc>
        <w:tc>
          <w:tcPr>
            <w:tcW w:w="416" w:type="dxa"/>
            <w:tcBorders>
              <w:top w:val="nil"/>
              <w:left w:val="nil"/>
              <w:bottom w:val="single" w:color="auto" w:sz="4" w:space="0"/>
              <w:right w:val="single" w:color="auto" w:sz="4" w:space="0"/>
            </w:tcBorders>
            <w:shd w:val="clear" w:color="auto" w:fill="auto"/>
            <w:vAlign w:val="center"/>
          </w:tcPr>
          <w:p w14:paraId="4E51F5B2">
            <w:pPr>
              <w:widowControl/>
              <w:jc w:val="center"/>
              <w:rPr>
                <w:rFonts w:hint="eastAsia" w:ascii="宋体" w:hAnsi="宋体" w:cs="宋体"/>
                <w:kern w:val="0"/>
                <w:sz w:val="20"/>
                <w:szCs w:val="20"/>
              </w:rPr>
            </w:pPr>
            <w:r>
              <w:rPr>
                <w:rFonts w:hint="eastAsia"/>
              </w:rPr>
              <w:t>-</w:t>
            </w:r>
          </w:p>
        </w:tc>
      </w:tr>
      <w:tr w14:paraId="38AB36B2">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39CBA63">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4EA73896">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773" w:type="dxa"/>
            <w:tcBorders>
              <w:top w:val="nil"/>
              <w:left w:val="nil"/>
              <w:bottom w:val="single" w:color="auto" w:sz="4" w:space="0"/>
              <w:right w:val="single" w:color="auto" w:sz="4" w:space="0"/>
            </w:tcBorders>
            <w:shd w:val="clear" w:color="auto" w:fill="auto"/>
            <w:vAlign w:val="center"/>
          </w:tcPr>
          <w:p w14:paraId="0032BD6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973.95</w:t>
            </w:r>
          </w:p>
        </w:tc>
        <w:tc>
          <w:tcPr>
            <w:tcW w:w="994" w:type="dxa"/>
            <w:tcBorders>
              <w:top w:val="nil"/>
              <w:left w:val="nil"/>
              <w:bottom w:val="single" w:color="auto" w:sz="4" w:space="0"/>
              <w:right w:val="single" w:color="auto" w:sz="4" w:space="0"/>
            </w:tcBorders>
            <w:shd w:val="clear" w:color="auto" w:fill="auto"/>
            <w:vAlign w:val="center"/>
          </w:tcPr>
          <w:p w14:paraId="35996D1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922.99</w:t>
            </w:r>
          </w:p>
        </w:tc>
        <w:tc>
          <w:tcPr>
            <w:tcW w:w="2291" w:type="dxa"/>
            <w:tcBorders>
              <w:top w:val="nil"/>
              <w:left w:val="nil"/>
              <w:bottom w:val="single" w:color="auto" w:sz="4" w:space="0"/>
              <w:right w:val="single" w:color="auto" w:sz="4" w:space="0"/>
            </w:tcBorders>
            <w:shd w:val="clear" w:color="auto" w:fill="auto"/>
            <w:vAlign w:val="center"/>
          </w:tcPr>
          <w:p w14:paraId="59F9EBA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827.24</w:t>
            </w:r>
          </w:p>
        </w:tc>
        <w:tc>
          <w:tcPr>
            <w:tcW w:w="416" w:type="dxa"/>
            <w:tcBorders>
              <w:top w:val="nil"/>
              <w:left w:val="nil"/>
              <w:bottom w:val="single" w:color="auto" w:sz="4" w:space="0"/>
              <w:right w:val="single" w:color="auto" w:sz="4" w:space="0"/>
            </w:tcBorders>
            <w:shd w:val="clear" w:color="auto" w:fill="auto"/>
            <w:vAlign w:val="center"/>
          </w:tcPr>
          <w:p w14:paraId="63D37DE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390EA6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297CED6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5F59F56">
        <w:tblPrEx>
          <w:tblCellMar>
            <w:top w:w="0" w:type="dxa"/>
            <w:left w:w="108" w:type="dxa"/>
            <w:bottom w:w="0" w:type="dxa"/>
            <w:right w:w="108" w:type="dxa"/>
          </w:tblCellMar>
        </w:tblPrEx>
        <w:trPr>
          <w:trHeight w:val="705"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E14B2">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951" w:type="dxa"/>
            <w:gridSpan w:val="3"/>
            <w:tcBorders>
              <w:top w:val="single" w:color="auto" w:sz="4" w:space="0"/>
              <w:left w:val="nil"/>
              <w:bottom w:val="single" w:color="auto" w:sz="4" w:space="0"/>
              <w:right w:val="single" w:color="auto" w:sz="4" w:space="0"/>
            </w:tcBorders>
            <w:shd w:val="clear" w:color="auto" w:fill="auto"/>
            <w:noWrap/>
            <w:vAlign w:val="center"/>
          </w:tcPr>
          <w:p w14:paraId="034CB5D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39" w:type="dxa"/>
            <w:gridSpan w:val="4"/>
            <w:tcBorders>
              <w:top w:val="single" w:color="auto" w:sz="4" w:space="0"/>
              <w:left w:val="nil"/>
              <w:bottom w:val="single" w:color="auto" w:sz="4" w:space="0"/>
              <w:right w:val="single" w:color="auto" w:sz="4" w:space="0"/>
            </w:tcBorders>
            <w:shd w:val="clear" w:color="auto" w:fill="auto"/>
            <w:noWrap/>
            <w:vAlign w:val="center"/>
          </w:tcPr>
          <w:p w14:paraId="30E82C3B">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605A277">
        <w:tblPrEx>
          <w:tblCellMar>
            <w:top w:w="0" w:type="dxa"/>
            <w:left w:w="108" w:type="dxa"/>
            <w:bottom w:w="0" w:type="dxa"/>
            <w:right w:w="108" w:type="dxa"/>
          </w:tblCellMar>
        </w:tblPrEx>
        <w:trPr>
          <w:trHeight w:val="200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4AEE9729">
            <w:pPr>
              <w:widowControl/>
              <w:jc w:val="left"/>
              <w:rPr>
                <w:rFonts w:hint="eastAsia" w:ascii="宋体" w:hAnsi="宋体" w:cs="宋体"/>
                <w:kern w:val="0"/>
                <w:sz w:val="20"/>
                <w:szCs w:val="20"/>
              </w:rPr>
            </w:pPr>
          </w:p>
        </w:tc>
        <w:tc>
          <w:tcPr>
            <w:tcW w:w="3951" w:type="dxa"/>
            <w:gridSpan w:val="3"/>
            <w:tcBorders>
              <w:top w:val="single" w:color="auto" w:sz="4" w:space="0"/>
              <w:left w:val="nil"/>
              <w:bottom w:val="single" w:color="auto" w:sz="4" w:space="0"/>
              <w:right w:val="single" w:color="auto" w:sz="4" w:space="0"/>
            </w:tcBorders>
            <w:shd w:val="clear" w:color="auto" w:fill="auto"/>
            <w:vAlign w:val="center"/>
          </w:tcPr>
          <w:p w14:paraId="3E29CF78">
            <w:pPr>
              <w:widowControl/>
              <w:jc w:val="both"/>
              <w:rPr>
                <w:rFonts w:hint="eastAsia" w:ascii="宋体" w:hAnsi="宋体" w:cs="宋体"/>
                <w:kern w:val="0"/>
                <w:sz w:val="20"/>
                <w:szCs w:val="20"/>
              </w:rPr>
            </w:pPr>
            <w:r>
              <w:rPr>
                <w:rFonts w:hint="eastAsia" w:ascii="宋体" w:hAnsi="宋体" w:cs="宋体"/>
                <w:kern w:val="0"/>
                <w:sz w:val="20"/>
                <w:szCs w:val="20"/>
              </w:rPr>
              <w:t>狠抓固定资产投资和重大项目协调管理，扎实推进项目前期工作；做好经济运行分析；做好粮食收、存、储期间的安全监督及应急物资储备工作；做好新能源发展、节能降耗、信用体系建设、价格认定、农产品成本调查、优化营商环境等工作。</w:t>
            </w:r>
          </w:p>
        </w:tc>
        <w:tc>
          <w:tcPr>
            <w:tcW w:w="3739" w:type="dxa"/>
            <w:gridSpan w:val="4"/>
            <w:tcBorders>
              <w:top w:val="single" w:color="auto" w:sz="4" w:space="0"/>
              <w:left w:val="nil"/>
              <w:bottom w:val="single" w:color="auto" w:sz="4" w:space="0"/>
              <w:right w:val="single" w:color="auto" w:sz="4" w:space="0"/>
            </w:tcBorders>
            <w:shd w:val="clear" w:color="auto" w:fill="auto"/>
            <w:vAlign w:val="center"/>
          </w:tcPr>
          <w:p w14:paraId="650904AF">
            <w:pPr>
              <w:widowControl/>
              <w:jc w:val="center"/>
              <w:rPr>
                <w:rFonts w:hint="eastAsia" w:ascii="宋体" w:hAnsi="宋体" w:cs="宋体"/>
                <w:kern w:val="0"/>
                <w:sz w:val="20"/>
                <w:szCs w:val="20"/>
              </w:rPr>
            </w:pPr>
            <w:r>
              <w:rPr>
                <w:rFonts w:hint="eastAsia" w:ascii="宋体" w:hAnsi="宋体" w:cs="宋体"/>
                <w:kern w:val="0"/>
                <w:sz w:val="20"/>
                <w:szCs w:val="20"/>
              </w:rPr>
              <w:t>狠抓固定资产投资和重大项目协调管理，扎实推进重大项目前期工作，召开项目培训班1次，项目推进会16次，验收项目23个；召开经济运行分析会4次，监测宏观经济和社会发展态势；开展食品价格监测12次，为编制和执行全县价格改革规划，拟订并组织实施价格政策，提供了数据支持；加快推进</w:t>
            </w:r>
            <w:r>
              <w:rPr>
                <w:rFonts w:hint="eastAsia" w:ascii="宋体" w:hAnsi="宋体" w:cs="宋体"/>
                <w:kern w:val="0"/>
                <w:sz w:val="20"/>
                <w:szCs w:val="20"/>
                <w:lang w:eastAsia="zh-CN"/>
              </w:rPr>
              <w:t>“放管服”改革</w:t>
            </w:r>
            <w:r>
              <w:rPr>
                <w:rFonts w:hint="eastAsia" w:ascii="宋体" w:hAnsi="宋体" w:cs="宋体"/>
                <w:kern w:val="0"/>
                <w:sz w:val="20"/>
                <w:szCs w:val="20"/>
              </w:rPr>
              <w:t>，按照“产业主导、全面发展”战略，加快推进现代服务业发展，主管行业安全检查195次。</w:t>
            </w:r>
          </w:p>
        </w:tc>
      </w:tr>
      <w:tr w14:paraId="1339BB0F">
        <w:tblPrEx>
          <w:tblCellMar>
            <w:top w:w="0" w:type="dxa"/>
            <w:left w:w="108" w:type="dxa"/>
            <w:bottom w:w="0" w:type="dxa"/>
            <w:right w:w="108" w:type="dxa"/>
          </w:tblCellMar>
        </w:tblPrEx>
        <w:trPr>
          <w:trHeight w:val="579"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4136707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84" w:type="dxa"/>
            <w:tcBorders>
              <w:top w:val="nil"/>
              <w:left w:val="nil"/>
              <w:bottom w:val="single" w:color="auto" w:sz="4" w:space="0"/>
              <w:right w:val="single" w:color="auto" w:sz="4" w:space="0"/>
            </w:tcBorders>
            <w:shd w:val="clear" w:color="auto" w:fill="auto"/>
            <w:vAlign w:val="center"/>
          </w:tcPr>
          <w:p w14:paraId="608673A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773" w:type="dxa"/>
            <w:tcBorders>
              <w:top w:val="nil"/>
              <w:left w:val="nil"/>
              <w:bottom w:val="single" w:color="auto" w:sz="4" w:space="0"/>
              <w:right w:val="single" w:color="auto" w:sz="4" w:space="0"/>
            </w:tcBorders>
            <w:shd w:val="clear" w:color="auto" w:fill="auto"/>
            <w:vAlign w:val="center"/>
          </w:tcPr>
          <w:p w14:paraId="210EC9DF">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94" w:type="dxa"/>
            <w:tcBorders>
              <w:top w:val="nil"/>
              <w:left w:val="nil"/>
              <w:bottom w:val="single" w:color="auto" w:sz="4" w:space="0"/>
              <w:right w:val="single" w:color="auto" w:sz="4" w:space="0"/>
            </w:tcBorders>
            <w:shd w:val="clear" w:color="auto" w:fill="auto"/>
            <w:vAlign w:val="center"/>
          </w:tcPr>
          <w:p w14:paraId="4F633672">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2291" w:type="dxa"/>
            <w:tcBorders>
              <w:top w:val="nil"/>
              <w:left w:val="nil"/>
              <w:bottom w:val="single" w:color="auto" w:sz="4" w:space="0"/>
              <w:right w:val="single" w:color="auto" w:sz="4" w:space="0"/>
            </w:tcBorders>
            <w:shd w:val="clear" w:color="auto" w:fill="auto"/>
            <w:vAlign w:val="center"/>
          </w:tcPr>
          <w:p w14:paraId="2C2C835D">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16" w:type="dxa"/>
            <w:tcBorders>
              <w:top w:val="nil"/>
              <w:left w:val="nil"/>
              <w:bottom w:val="single" w:color="auto" w:sz="4" w:space="0"/>
              <w:right w:val="single" w:color="auto" w:sz="4" w:space="0"/>
            </w:tcBorders>
            <w:shd w:val="clear" w:color="auto" w:fill="auto"/>
            <w:vAlign w:val="center"/>
          </w:tcPr>
          <w:p w14:paraId="42B8595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3548D85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6" w:type="dxa"/>
            <w:tcBorders>
              <w:top w:val="nil"/>
              <w:left w:val="nil"/>
              <w:bottom w:val="single" w:color="auto" w:sz="4" w:space="0"/>
              <w:right w:val="single" w:color="auto" w:sz="4" w:space="0"/>
            </w:tcBorders>
            <w:shd w:val="clear" w:color="auto" w:fill="auto"/>
            <w:vAlign w:val="center"/>
          </w:tcPr>
          <w:p w14:paraId="46A06B1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570157D">
        <w:tblPrEx>
          <w:tblCellMar>
            <w:top w:w="0" w:type="dxa"/>
            <w:left w:w="108" w:type="dxa"/>
            <w:bottom w:w="0" w:type="dxa"/>
            <w:right w:w="108" w:type="dxa"/>
          </w:tblCellMar>
        </w:tblPrEx>
        <w:trPr>
          <w:trHeight w:val="741"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9599D">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84" w:type="dxa"/>
            <w:vMerge w:val="restart"/>
            <w:tcBorders>
              <w:top w:val="nil"/>
              <w:left w:val="single" w:color="auto" w:sz="4" w:space="0"/>
              <w:bottom w:val="single" w:color="auto" w:sz="4" w:space="0"/>
              <w:right w:val="single" w:color="auto" w:sz="4" w:space="0"/>
            </w:tcBorders>
            <w:shd w:val="clear" w:color="auto" w:fill="auto"/>
            <w:vAlign w:val="center"/>
          </w:tcPr>
          <w:p w14:paraId="6ADFA40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773" w:type="dxa"/>
            <w:tcBorders>
              <w:top w:val="nil"/>
              <w:left w:val="nil"/>
              <w:bottom w:val="single" w:color="auto" w:sz="4" w:space="0"/>
              <w:right w:val="single" w:color="auto" w:sz="4" w:space="0"/>
            </w:tcBorders>
            <w:shd w:val="clear" w:color="auto" w:fill="auto"/>
            <w:vAlign w:val="center"/>
          </w:tcPr>
          <w:p w14:paraId="20A502D4">
            <w:pPr>
              <w:widowControl/>
              <w:jc w:val="center"/>
              <w:rPr>
                <w:rFonts w:hint="eastAsia" w:ascii="宋体" w:hAnsi="宋体" w:cs="宋体"/>
                <w:kern w:val="0"/>
                <w:sz w:val="20"/>
                <w:szCs w:val="20"/>
              </w:rPr>
            </w:pPr>
            <w:r>
              <w:rPr>
                <w:rFonts w:hint="eastAsia" w:ascii="宋体" w:hAnsi="宋体" w:cs="宋体"/>
                <w:kern w:val="0"/>
                <w:sz w:val="20"/>
                <w:szCs w:val="20"/>
              </w:rPr>
              <w:t>组织举办项目培训班</w:t>
            </w:r>
          </w:p>
        </w:tc>
        <w:tc>
          <w:tcPr>
            <w:tcW w:w="994" w:type="dxa"/>
            <w:tcBorders>
              <w:top w:val="nil"/>
              <w:left w:val="nil"/>
              <w:bottom w:val="single" w:color="auto" w:sz="4" w:space="0"/>
              <w:right w:val="single" w:color="auto" w:sz="4" w:space="0"/>
            </w:tcBorders>
            <w:shd w:val="clear" w:color="auto" w:fill="auto"/>
            <w:vAlign w:val="center"/>
          </w:tcPr>
          <w:p w14:paraId="756A47C5">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2291" w:type="dxa"/>
            <w:tcBorders>
              <w:top w:val="nil"/>
              <w:left w:val="nil"/>
              <w:bottom w:val="single" w:color="auto" w:sz="4" w:space="0"/>
              <w:right w:val="single" w:color="auto" w:sz="4" w:space="0"/>
            </w:tcBorders>
            <w:shd w:val="clear" w:color="auto" w:fill="auto"/>
            <w:vAlign w:val="center"/>
          </w:tcPr>
          <w:p w14:paraId="095038B8">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659CB0E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473B6163">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416" w:type="dxa"/>
            <w:tcBorders>
              <w:top w:val="nil"/>
              <w:left w:val="nil"/>
              <w:bottom w:val="single" w:color="auto" w:sz="4" w:space="0"/>
              <w:right w:val="single" w:color="auto" w:sz="4" w:space="0"/>
            </w:tcBorders>
            <w:shd w:val="clear" w:color="auto" w:fill="auto"/>
            <w:vAlign w:val="center"/>
          </w:tcPr>
          <w:p w14:paraId="4C13FA2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89AD86D">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7F53128">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046B8FB8">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14:paraId="2D75448F">
            <w:pPr>
              <w:widowControl/>
              <w:jc w:val="center"/>
              <w:rPr>
                <w:rFonts w:hint="eastAsia" w:ascii="宋体" w:hAnsi="宋体" w:cs="宋体"/>
                <w:kern w:val="0"/>
                <w:sz w:val="20"/>
                <w:szCs w:val="20"/>
              </w:rPr>
            </w:pPr>
            <w:r>
              <w:rPr>
                <w:rFonts w:hint="eastAsia" w:ascii="宋体" w:hAnsi="宋体" w:cs="宋体"/>
                <w:kern w:val="0"/>
                <w:sz w:val="20"/>
                <w:szCs w:val="20"/>
              </w:rPr>
              <w:t>组织召开项目推进会</w:t>
            </w:r>
          </w:p>
        </w:tc>
        <w:tc>
          <w:tcPr>
            <w:tcW w:w="994" w:type="dxa"/>
            <w:tcBorders>
              <w:top w:val="nil"/>
              <w:left w:val="nil"/>
              <w:bottom w:val="single" w:color="auto" w:sz="4" w:space="0"/>
              <w:right w:val="single" w:color="auto" w:sz="4" w:space="0"/>
            </w:tcBorders>
            <w:shd w:val="clear" w:color="auto" w:fill="auto"/>
            <w:vAlign w:val="center"/>
          </w:tcPr>
          <w:p w14:paraId="06D3FD11">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2291" w:type="dxa"/>
            <w:tcBorders>
              <w:top w:val="nil"/>
              <w:left w:val="nil"/>
              <w:bottom w:val="single" w:color="auto" w:sz="4" w:space="0"/>
              <w:right w:val="single" w:color="auto" w:sz="4" w:space="0"/>
            </w:tcBorders>
            <w:shd w:val="clear" w:color="auto" w:fill="auto"/>
            <w:vAlign w:val="center"/>
          </w:tcPr>
          <w:p w14:paraId="0DA023DC">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538C689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4C9649FE">
            <w:pPr>
              <w:widowControl/>
              <w:jc w:val="center"/>
              <w:rPr>
                <w:rFonts w:hint="eastAsia" w:ascii="宋体" w:hAnsi="宋体" w:cs="宋体"/>
                <w:kern w:val="0"/>
                <w:sz w:val="20"/>
                <w:szCs w:val="20"/>
              </w:rPr>
            </w:pPr>
            <w:r>
              <w:rPr>
                <w:rFonts w:hint="eastAsia" w:ascii="宋体" w:hAnsi="宋体" w:cs="宋体"/>
                <w:kern w:val="0"/>
                <w:sz w:val="20"/>
                <w:szCs w:val="20"/>
              </w:rPr>
              <w:t>16次</w:t>
            </w:r>
          </w:p>
        </w:tc>
        <w:tc>
          <w:tcPr>
            <w:tcW w:w="416" w:type="dxa"/>
            <w:tcBorders>
              <w:top w:val="nil"/>
              <w:left w:val="nil"/>
              <w:bottom w:val="single" w:color="auto" w:sz="4" w:space="0"/>
              <w:right w:val="single" w:color="auto" w:sz="4" w:space="0"/>
            </w:tcBorders>
            <w:shd w:val="clear" w:color="auto" w:fill="auto"/>
            <w:vAlign w:val="center"/>
          </w:tcPr>
          <w:p w14:paraId="3CA171E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5F64208">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076D819A">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0F11A6AC">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14:paraId="3333D107">
            <w:pPr>
              <w:widowControl/>
              <w:jc w:val="center"/>
              <w:rPr>
                <w:rFonts w:hint="eastAsia" w:ascii="宋体" w:hAnsi="宋体" w:cs="宋体"/>
                <w:kern w:val="0"/>
                <w:sz w:val="20"/>
                <w:szCs w:val="20"/>
              </w:rPr>
            </w:pPr>
            <w:r>
              <w:rPr>
                <w:rFonts w:hint="eastAsia" w:ascii="宋体" w:hAnsi="宋体" w:cs="宋体"/>
                <w:kern w:val="0"/>
                <w:sz w:val="20"/>
                <w:szCs w:val="20"/>
                <w:lang w:eastAsia="zh-CN"/>
              </w:rPr>
              <w:t>召开</w:t>
            </w:r>
            <w:r>
              <w:rPr>
                <w:rFonts w:hint="eastAsia" w:ascii="宋体" w:hAnsi="宋体" w:cs="宋体"/>
                <w:kern w:val="0"/>
                <w:sz w:val="20"/>
                <w:szCs w:val="20"/>
              </w:rPr>
              <w:t>经济运行分析会议</w:t>
            </w:r>
          </w:p>
        </w:tc>
        <w:tc>
          <w:tcPr>
            <w:tcW w:w="994" w:type="dxa"/>
            <w:tcBorders>
              <w:top w:val="nil"/>
              <w:left w:val="nil"/>
              <w:bottom w:val="single" w:color="auto" w:sz="4" w:space="0"/>
              <w:right w:val="single" w:color="auto" w:sz="4" w:space="0"/>
            </w:tcBorders>
            <w:shd w:val="clear" w:color="auto" w:fill="auto"/>
            <w:vAlign w:val="center"/>
          </w:tcPr>
          <w:p w14:paraId="65E6CA63">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2291" w:type="dxa"/>
            <w:tcBorders>
              <w:top w:val="nil"/>
              <w:left w:val="nil"/>
              <w:bottom w:val="single" w:color="auto" w:sz="4" w:space="0"/>
              <w:right w:val="single" w:color="auto" w:sz="4" w:space="0"/>
            </w:tcBorders>
            <w:shd w:val="clear" w:color="auto" w:fill="auto"/>
            <w:vAlign w:val="center"/>
          </w:tcPr>
          <w:p w14:paraId="61EF37CA">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313C3BF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6ED4542E">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416" w:type="dxa"/>
            <w:tcBorders>
              <w:top w:val="nil"/>
              <w:left w:val="nil"/>
              <w:bottom w:val="single" w:color="auto" w:sz="4" w:space="0"/>
              <w:right w:val="single" w:color="auto" w:sz="4" w:space="0"/>
            </w:tcBorders>
            <w:shd w:val="clear" w:color="auto" w:fill="auto"/>
            <w:vAlign w:val="center"/>
          </w:tcPr>
          <w:p w14:paraId="62AE5B6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873A830">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63501A26">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13081D91">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14:paraId="3962FD85">
            <w:pPr>
              <w:widowControl/>
              <w:jc w:val="center"/>
              <w:rPr>
                <w:rFonts w:hint="eastAsia" w:ascii="宋体" w:hAnsi="宋体" w:cs="宋体"/>
                <w:kern w:val="0"/>
                <w:sz w:val="20"/>
                <w:szCs w:val="20"/>
              </w:rPr>
            </w:pPr>
            <w:r>
              <w:rPr>
                <w:rFonts w:hint="eastAsia" w:ascii="宋体" w:hAnsi="宋体" w:cs="宋体"/>
                <w:kern w:val="0"/>
                <w:sz w:val="20"/>
                <w:szCs w:val="20"/>
              </w:rPr>
              <w:t>开展粮食安全、输气管线等各类安全检查</w:t>
            </w:r>
          </w:p>
        </w:tc>
        <w:tc>
          <w:tcPr>
            <w:tcW w:w="994" w:type="dxa"/>
            <w:tcBorders>
              <w:top w:val="nil"/>
              <w:left w:val="nil"/>
              <w:bottom w:val="single" w:color="auto" w:sz="4" w:space="0"/>
              <w:right w:val="single" w:color="auto" w:sz="4" w:space="0"/>
            </w:tcBorders>
            <w:shd w:val="clear" w:color="auto" w:fill="auto"/>
            <w:vAlign w:val="center"/>
          </w:tcPr>
          <w:p w14:paraId="25A4B9D9">
            <w:pPr>
              <w:widowControl/>
              <w:jc w:val="center"/>
              <w:rPr>
                <w:rFonts w:hint="eastAsia" w:ascii="宋体" w:hAnsi="宋体" w:cs="宋体"/>
                <w:kern w:val="0"/>
                <w:sz w:val="20"/>
                <w:szCs w:val="20"/>
              </w:rPr>
            </w:pPr>
            <w:r>
              <w:rPr>
                <w:rFonts w:hint="eastAsia" w:ascii="宋体" w:hAnsi="宋体" w:cs="宋体"/>
                <w:kern w:val="0"/>
                <w:sz w:val="20"/>
                <w:szCs w:val="20"/>
              </w:rPr>
              <w:t>&gt;=50次</w:t>
            </w:r>
          </w:p>
        </w:tc>
        <w:tc>
          <w:tcPr>
            <w:tcW w:w="2291" w:type="dxa"/>
            <w:tcBorders>
              <w:top w:val="nil"/>
              <w:left w:val="nil"/>
              <w:bottom w:val="single" w:color="auto" w:sz="4" w:space="0"/>
              <w:right w:val="single" w:color="auto" w:sz="4" w:space="0"/>
            </w:tcBorders>
            <w:shd w:val="clear" w:color="auto" w:fill="auto"/>
            <w:vAlign w:val="center"/>
          </w:tcPr>
          <w:p w14:paraId="3B7A8E34">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67AE2898">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vAlign w:val="center"/>
          </w:tcPr>
          <w:p w14:paraId="1F5848E8">
            <w:pPr>
              <w:widowControl/>
              <w:jc w:val="center"/>
              <w:rPr>
                <w:rFonts w:hint="eastAsia" w:ascii="宋体" w:hAnsi="宋体" w:cs="宋体"/>
                <w:kern w:val="0"/>
                <w:sz w:val="20"/>
                <w:szCs w:val="20"/>
              </w:rPr>
            </w:pPr>
            <w:r>
              <w:rPr>
                <w:rFonts w:hint="eastAsia" w:ascii="宋体" w:hAnsi="宋体" w:cs="宋体"/>
                <w:kern w:val="0"/>
                <w:sz w:val="20"/>
                <w:szCs w:val="20"/>
              </w:rPr>
              <w:t>195次</w:t>
            </w:r>
          </w:p>
        </w:tc>
        <w:tc>
          <w:tcPr>
            <w:tcW w:w="416" w:type="dxa"/>
            <w:tcBorders>
              <w:top w:val="nil"/>
              <w:left w:val="nil"/>
              <w:bottom w:val="single" w:color="auto" w:sz="4" w:space="0"/>
              <w:right w:val="single" w:color="auto" w:sz="4" w:space="0"/>
            </w:tcBorders>
            <w:shd w:val="clear" w:color="auto" w:fill="auto"/>
            <w:vAlign w:val="center"/>
          </w:tcPr>
          <w:p w14:paraId="18F19F29">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5447F8F">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5807E711">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423868C4">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noWrap/>
            <w:vAlign w:val="center"/>
          </w:tcPr>
          <w:p w14:paraId="09180F22">
            <w:pPr>
              <w:widowControl/>
              <w:jc w:val="left"/>
              <w:rPr>
                <w:rFonts w:hint="eastAsia" w:ascii="宋体" w:hAnsi="宋体" w:cs="宋体"/>
                <w:kern w:val="0"/>
                <w:sz w:val="20"/>
                <w:szCs w:val="20"/>
              </w:rPr>
            </w:pPr>
            <w:r>
              <w:rPr>
                <w:rFonts w:hint="eastAsia" w:ascii="宋体" w:hAnsi="宋体" w:cs="宋体"/>
                <w:kern w:val="0"/>
                <w:sz w:val="20"/>
                <w:szCs w:val="20"/>
              </w:rPr>
              <w:t>全年对基本生活类食品价格监测</w:t>
            </w:r>
          </w:p>
        </w:tc>
        <w:tc>
          <w:tcPr>
            <w:tcW w:w="994" w:type="dxa"/>
            <w:tcBorders>
              <w:top w:val="nil"/>
              <w:left w:val="nil"/>
              <w:bottom w:val="single" w:color="auto" w:sz="4" w:space="0"/>
              <w:right w:val="single" w:color="auto" w:sz="4" w:space="0"/>
            </w:tcBorders>
            <w:shd w:val="clear" w:color="auto" w:fill="auto"/>
            <w:noWrap/>
            <w:vAlign w:val="center"/>
          </w:tcPr>
          <w:p w14:paraId="7B093C5A">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2291" w:type="dxa"/>
            <w:tcBorders>
              <w:top w:val="nil"/>
              <w:left w:val="nil"/>
              <w:bottom w:val="single" w:color="auto" w:sz="4" w:space="0"/>
              <w:right w:val="single" w:color="auto" w:sz="4" w:space="0"/>
            </w:tcBorders>
            <w:shd w:val="clear" w:color="auto" w:fill="auto"/>
            <w:noWrap/>
            <w:vAlign w:val="center"/>
          </w:tcPr>
          <w:p w14:paraId="2C5D40F5">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14:paraId="1091BF03">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14:paraId="42599EEC">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416" w:type="dxa"/>
            <w:tcBorders>
              <w:top w:val="nil"/>
              <w:left w:val="nil"/>
              <w:bottom w:val="single" w:color="auto" w:sz="4" w:space="0"/>
              <w:right w:val="single" w:color="auto" w:sz="4" w:space="0"/>
            </w:tcBorders>
            <w:shd w:val="clear" w:color="auto" w:fill="auto"/>
            <w:noWrap/>
            <w:vAlign w:val="center"/>
          </w:tcPr>
          <w:p w14:paraId="03328C7E">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7EA7FE03">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6FDE7D38">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4576D03E">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noWrap/>
            <w:vAlign w:val="center"/>
          </w:tcPr>
          <w:p w14:paraId="7A1FC0F2">
            <w:pPr>
              <w:widowControl/>
              <w:jc w:val="left"/>
              <w:rPr>
                <w:rFonts w:hint="eastAsia" w:ascii="宋体" w:hAnsi="宋体" w:cs="宋体"/>
                <w:kern w:val="0"/>
                <w:sz w:val="20"/>
                <w:szCs w:val="20"/>
              </w:rPr>
            </w:pPr>
            <w:r>
              <w:rPr>
                <w:rFonts w:hint="eastAsia" w:ascii="宋体" w:hAnsi="宋体" w:cs="宋体"/>
                <w:kern w:val="0"/>
                <w:sz w:val="20"/>
                <w:szCs w:val="20"/>
              </w:rPr>
              <w:t>完成中央预算内、援疆项目竣工验收</w:t>
            </w:r>
          </w:p>
        </w:tc>
        <w:tc>
          <w:tcPr>
            <w:tcW w:w="994" w:type="dxa"/>
            <w:tcBorders>
              <w:top w:val="nil"/>
              <w:left w:val="nil"/>
              <w:bottom w:val="single" w:color="auto" w:sz="4" w:space="0"/>
              <w:right w:val="single" w:color="auto" w:sz="4" w:space="0"/>
            </w:tcBorders>
            <w:shd w:val="clear" w:color="auto" w:fill="auto"/>
            <w:noWrap/>
            <w:vAlign w:val="center"/>
          </w:tcPr>
          <w:p w14:paraId="2F3A0FBB">
            <w:pPr>
              <w:widowControl/>
              <w:jc w:val="left"/>
              <w:rPr>
                <w:rFonts w:hint="eastAsia" w:ascii="宋体" w:hAnsi="宋体" w:cs="宋体"/>
                <w:kern w:val="0"/>
                <w:sz w:val="20"/>
                <w:szCs w:val="20"/>
              </w:rPr>
            </w:pPr>
            <w:r>
              <w:rPr>
                <w:rFonts w:hint="eastAsia" w:ascii="宋体" w:hAnsi="宋体" w:cs="宋体"/>
                <w:kern w:val="0"/>
                <w:sz w:val="20"/>
                <w:szCs w:val="20"/>
              </w:rPr>
              <w:t>&gt;=15个</w:t>
            </w:r>
          </w:p>
        </w:tc>
        <w:tc>
          <w:tcPr>
            <w:tcW w:w="2291" w:type="dxa"/>
            <w:tcBorders>
              <w:top w:val="nil"/>
              <w:left w:val="nil"/>
              <w:bottom w:val="single" w:color="auto" w:sz="4" w:space="0"/>
              <w:right w:val="single" w:color="auto" w:sz="4" w:space="0"/>
            </w:tcBorders>
            <w:shd w:val="clear" w:color="auto" w:fill="auto"/>
            <w:noWrap/>
            <w:vAlign w:val="center"/>
          </w:tcPr>
          <w:p w14:paraId="617A50AC">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14:paraId="2C75CB39">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14:paraId="3E022366">
            <w:pPr>
              <w:widowControl/>
              <w:jc w:val="left"/>
              <w:rPr>
                <w:rFonts w:hint="eastAsia" w:ascii="宋体" w:hAnsi="宋体" w:cs="宋体"/>
                <w:kern w:val="0"/>
                <w:sz w:val="20"/>
                <w:szCs w:val="20"/>
              </w:rPr>
            </w:pPr>
            <w:r>
              <w:rPr>
                <w:rFonts w:hint="eastAsia" w:ascii="宋体" w:hAnsi="宋体" w:cs="宋体"/>
                <w:kern w:val="0"/>
                <w:sz w:val="20"/>
                <w:szCs w:val="20"/>
              </w:rPr>
              <w:t>23个</w:t>
            </w:r>
          </w:p>
        </w:tc>
        <w:tc>
          <w:tcPr>
            <w:tcW w:w="416" w:type="dxa"/>
            <w:tcBorders>
              <w:top w:val="nil"/>
              <w:left w:val="nil"/>
              <w:bottom w:val="single" w:color="auto" w:sz="4" w:space="0"/>
              <w:right w:val="single" w:color="auto" w:sz="4" w:space="0"/>
            </w:tcBorders>
            <w:shd w:val="clear" w:color="auto" w:fill="auto"/>
            <w:noWrap/>
            <w:vAlign w:val="center"/>
          </w:tcPr>
          <w:p w14:paraId="7314C3C9">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253E0AAC">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0DC8AD02">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noWrap/>
            <w:vAlign w:val="center"/>
          </w:tcPr>
          <w:p w14:paraId="66A1D933">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1773" w:type="dxa"/>
            <w:tcBorders>
              <w:top w:val="nil"/>
              <w:left w:val="nil"/>
              <w:bottom w:val="single" w:color="auto" w:sz="4" w:space="0"/>
              <w:right w:val="single" w:color="auto" w:sz="4" w:space="0"/>
            </w:tcBorders>
            <w:shd w:val="clear" w:color="auto" w:fill="auto"/>
            <w:noWrap/>
            <w:vAlign w:val="center"/>
          </w:tcPr>
          <w:p w14:paraId="6A16718F">
            <w:pPr>
              <w:widowControl/>
              <w:jc w:val="left"/>
              <w:rPr>
                <w:rFonts w:hint="eastAsia" w:ascii="宋体" w:hAnsi="宋体" w:cs="宋体"/>
                <w:kern w:val="0"/>
                <w:sz w:val="20"/>
                <w:szCs w:val="20"/>
              </w:rPr>
            </w:pPr>
            <w:r>
              <w:rPr>
                <w:rFonts w:hint="eastAsia" w:ascii="宋体" w:hAnsi="宋体" w:cs="宋体"/>
                <w:kern w:val="0"/>
                <w:sz w:val="20"/>
                <w:szCs w:val="20"/>
              </w:rPr>
              <w:t>行政处罚、行政许可决定作出后公示至信用中国时限</w:t>
            </w:r>
          </w:p>
        </w:tc>
        <w:tc>
          <w:tcPr>
            <w:tcW w:w="994" w:type="dxa"/>
            <w:tcBorders>
              <w:top w:val="nil"/>
              <w:left w:val="nil"/>
              <w:bottom w:val="single" w:color="auto" w:sz="4" w:space="0"/>
              <w:right w:val="single" w:color="auto" w:sz="4" w:space="0"/>
            </w:tcBorders>
            <w:shd w:val="clear" w:color="auto" w:fill="auto"/>
            <w:noWrap/>
            <w:vAlign w:val="center"/>
          </w:tcPr>
          <w:p w14:paraId="7A0F7AB3">
            <w:pPr>
              <w:widowControl/>
              <w:jc w:val="left"/>
              <w:rPr>
                <w:rFonts w:hint="eastAsia" w:ascii="宋体" w:hAnsi="宋体" w:cs="宋体"/>
                <w:kern w:val="0"/>
                <w:sz w:val="20"/>
                <w:szCs w:val="20"/>
              </w:rPr>
            </w:pPr>
            <w:r>
              <w:rPr>
                <w:rFonts w:hint="eastAsia" w:ascii="宋体" w:hAnsi="宋体" w:cs="宋体"/>
                <w:kern w:val="0"/>
                <w:sz w:val="20"/>
                <w:szCs w:val="20"/>
              </w:rPr>
              <w:t>&lt;=7天</w:t>
            </w:r>
          </w:p>
        </w:tc>
        <w:tc>
          <w:tcPr>
            <w:tcW w:w="2291" w:type="dxa"/>
            <w:tcBorders>
              <w:top w:val="nil"/>
              <w:left w:val="nil"/>
              <w:bottom w:val="single" w:color="auto" w:sz="4" w:space="0"/>
              <w:right w:val="single" w:color="auto" w:sz="4" w:space="0"/>
            </w:tcBorders>
            <w:shd w:val="clear" w:color="auto" w:fill="auto"/>
            <w:noWrap/>
            <w:vAlign w:val="center"/>
          </w:tcPr>
          <w:p w14:paraId="3EE3199E">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14:paraId="295A8E27">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14:paraId="120C3A26">
            <w:pPr>
              <w:widowControl/>
              <w:jc w:val="left"/>
              <w:rPr>
                <w:rFonts w:hint="eastAsia" w:ascii="宋体" w:hAnsi="宋体" w:cs="宋体"/>
                <w:kern w:val="0"/>
                <w:sz w:val="20"/>
                <w:szCs w:val="20"/>
              </w:rPr>
            </w:pPr>
            <w:r>
              <w:rPr>
                <w:rFonts w:hint="eastAsia" w:ascii="宋体" w:hAnsi="宋体" w:cs="宋体"/>
                <w:kern w:val="0"/>
                <w:sz w:val="20"/>
                <w:szCs w:val="20"/>
              </w:rPr>
              <w:t>7天</w:t>
            </w:r>
          </w:p>
        </w:tc>
        <w:tc>
          <w:tcPr>
            <w:tcW w:w="416" w:type="dxa"/>
            <w:tcBorders>
              <w:top w:val="nil"/>
              <w:left w:val="nil"/>
              <w:bottom w:val="single" w:color="auto" w:sz="4" w:space="0"/>
              <w:right w:val="single" w:color="auto" w:sz="4" w:space="0"/>
            </w:tcBorders>
            <w:shd w:val="clear" w:color="auto" w:fill="auto"/>
            <w:noWrap/>
            <w:vAlign w:val="center"/>
          </w:tcPr>
          <w:p w14:paraId="7A1F7E52">
            <w:pPr>
              <w:widowControl/>
              <w:jc w:val="left"/>
              <w:rPr>
                <w:rFonts w:hint="eastAsia" w:ascii="宋体" w:hAnsi="宋体" w:cs="宋体"/>
                <w:kern w:val="0"/>
                <w:sz w:val="20"/>
                <w:szCs w:val="20"/>
              </w:rPr>
            </w:pPr>
            <w:r>
              <w:rPr>
                <w:rFonts w:hint="eastAsia" w:ascii="宋体" w:hAnsi="宋体" w:cs="宋体"/>
                <w:kern w:val="0"/>
                <w:sz w:val="20"/>
                <w:szCs w:val="20"/>
              </w:rPr>
              <w:t>15</w:t>
            </w:r>
          </w:p>
        </w:tc>
      </w:tr>
    </w:tbl>
    <w:p w14:paraId="2159A42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5"/>
        <w:gridCol w:w="435"/>
        <w:gridCol w:w="1222"/>
        <w:gridCol w:w="339"/>
        <w:gridCol w:w="1158"/>
        <w:gridCol w:w="556"/>
        <w:gridCol w:w="931"/>
        <w:gridCol w:w="829"/>
        <w:gridCol w:w="180"/>
        <w:gridCol w:w="371"/>
        <w:gridCol w:w="192"/>
        <w:gridCol w:w="554"/>
        <w:gridCol w:w="372"/>
        <w:gridCol w:w="725"/>
      </w:tblGrid>
      <w:tr w14:paraId="0060981F">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6FBAE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F9E44D">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4B89A0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A84A64F">
        <w:tblPrEx>
          <w:tblCellMar>
            <w:top w:w="0" w:type="dxa"/>
            <w:left w:w="108" w:type="dxa"/>
            <w:bottom w:w="0" w:type="dxa"/>
            <w:right w:w="108" w:type="dxa"/>
          </w:tblCellMar>
        </w:tblPrEx>
        <w:trPr>
          <w:trHeight w:val="288" w:hRule="atLeast"/>
          <w:jc w:val="center"/>
        </w:trPr>
        <w:tc>
          <w:tcPr>
            <w:tcW w:w="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81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9" w:type="dxa"/>
            <w:gridSpan w:val="12"/>
            <w:tcBorders>
              <w:top w:val="single" w:color="auto" w:sz="4" w:space="0"/>
              <w:left w:val="nil"/>
              <w:bottom w:val="single" w:color="auto" w:sz="4" w:space="0"/>
              <w:right w:val="single" w:color="auto" w:sz="4" w:space="0"/>
            </w:tcBorders>
            <w:shd w:val="clear" w:color="auto" w:fill="auto"/>
            <w:vAlign w:val="center"/>
          </w:tcPr>
          <w:p w14:paraId="31C0B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14:paraId="469A9AA5">
        <w:tblPrEx>
          <w:tblCellMar>
            <w:top w:w="0" w:type="dxa"/>
            <w:left w:w="108" w:type="dxa"/>
            <w:bottom w:w="0" w:type="dxa"/>
            <w:right w:w="108" w:type="dxa"/>
          </w:tblCellMar>
        </w:tblPrEx>
        <w:trPr>
          <w:trHeight w:val="288" w:hRule="atLeast"/>
          <w:jc w:val="center"/>
        </w:trPr>
        <w:tc>
          <w:tcPr>
            <w:tcW w:w="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ECF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6" w:type="dxa"/>
            <w:gridSpan w:val="5"/>
            <w:tcBorders>
              <w:top w:val="single" w:color="auto" w:sz="4" w:space="0"/>
              <w:left w:val="nil"/>
              <w:bottom w:val="single" w:color="auto" w:sz="4" w:space="0"/>
              <w:right w:val="single" w:color="auto" w:sz="4" w:space="0"/>
            </w:tcBorders>
            <w:shd w:val="clear" w:color="auto" w:fill="auto"/>
            <w:vAlign w:val="center"/>
          </w:tcPr>
          <w:p w14:paraId="663BB95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1C41D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4" w:type="dxa"/>
            <w:gridSpan w:val="5"/>
            <w:tcBorders>
              <w:top w:val="single" w:color="auto" w:sz="4" w:space="0"/>
              <w:left w:val="nil"/>
              <w:bottom w:val="single" w:color="auto" w:sz="4" w:space="0"/>
              <w:right w:val="single" w:color="auto" w:sz="4" w:space="0"/>
            </w:tcBorders>
            <w:shd w:val="clear" w:color="auto" w:fill="auto"/>
            <w:vAlign w:val="center"/>
          </w:tcPr>
          <w:p w14:paraId="2464B5A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r>
      <w:tr w14:paraId="13CE702D">
        <w:tblPrEx>
          <w:tblCellMar>
            <w:top w:w="0" w:type="dxa"/>
            <w:left w:w="108" w:type="dxa"/>
            <w:bottom w:w="0" w:type="dxa"/>
            <w:right w:w="108" w:type="dxa"/>
          </w:tblCellMar>
        </w:tblPrEx>
        <w:trPr>
          <w:trHeight w:val="480" w:hRule="atLeast"/>
          <w:jc w:val="center"/>
        </w:trPr>
        <w:tc>
          <w:tcPr>
            <w:tcW w:w="8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2B7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033CAC67">
            <w:pPr>
              <w:widowControl/>
              <w:jc w:val="center"/>
              <w:rPr>
                <w:rFonts w:hint="eastAsia" w:ascii="宋体" w:hAnsi="宋体" w:cs="宋体"/>
                <w:color w:val="000000"/>
                <w:kern w:val="0"/>
                <w:sz w:val="20"/>
                <w:szCs w:val="20"/>
              </w:rPr>
            </w:pPr>
          </w:p>
        </w:tc>
        <w:tc>
          <w:tcPr>
            <w:tcW w:w="1158" w:type="dxa"/>
            <w:tcBorders>
              <w:top w:val="nil"/>
              <w:left w:val="nil"/>
              <w:bottom w:val="single" w:color="auto" w:sz="4" w:space="0"/>
              <w:right w:val="single" w:color="auto" w:sz="4" w:space="0"/>
            </w:tcBorders>
            <w:shd w:val="clear" w:color="auto" w:fill="auto"/>
            <w:vAlign w:val="center"/>
          </w:tcPr>
          <w:p w14:paraId="49AEA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14:paraId="4C09B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2CC10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048DA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496B8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5" w:type="dxa"/>
            <w:tcBorders>
              <w:top w:val="nil"/>
              <w:left w:val="nil"/>
              <w:bottom w:val="single" w:color="auto" w:sz="4" w:space="0"/>
              <w:right w:val="single" w:color="auto" w:sz="4" w:space="0"/>
            </w:tcBorders>
            <w:shd w:val="clear" w:color="auto" w:fill="auto"/>
            <w:vAlign w:val="center"/>
          </w:tcPr>
          <w:p w14:paraId="3C39E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2312C6">
        <w:tblPrEx>
          <w:tblCellMar>
            <w:top w:w="0" w:type="dxa"/>
            <w:left w:w="108" w:type="dxa"/>
            <w:bottom w:w="0" w:type="dxa"/>
            <w:right w:w="108" w:type="dxa"/>
          </w:tblCellMar>
        </w:tblPrEx>
        <w:trPr>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14:paraId="71B234DA">
            <w:pPr>
              <w:widowControl/>
              <w:jc w:val="left"/>
              <w:rPr>
                <w:rFonts w:hint="eastAsia" w:ascii="宋体" w:hAnsi="宋体" w:cs="宋体"/>
                <w:color w:val="000000"/>
                <w:kern w:val="0"/>
                <w:sz w:val="20"/>
                <w:szCs w:val="20"/>
              </w:rPr>
            </w:pP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5CA28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8" w:type="dxa"/>
            <w:tcBorders>
              <w:top w:val="nil"/>
              <w:left w:val="nil"/>
              <w:bottom w:val="single" w:color="auto" w:sz="4" w:space="0"/>
              <w:right w:val="single" w:color="auto" w:sz="4" w:space="0"/>
            </w:tcBorders>
            <w:shd w:val="clear" w:color="auto" w:fill="auto"/>
            <w:vAlign w:val="center"/>
          </w:tcPr>
          <w:p w14:paraId="62F3F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14:paraId="43B55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1DD38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55FC9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6E96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5" w:type="dxa"/>
            <w:tcBorders>
              <w:top w:val="nil"/>
              <w:left w:val="nil"/>
              <w:bottom w:val="single" w:color="auto" w:sz="4" w:space="0"/>
              <w:right w:val="single" w:color="auto" w:sz="4" w:space="0"/>
            </w:tcBorders>
            <w:shd w:val="clear" w:color="auto" w:fill="auto"/>
            <w:vAlign w:val="center"/>
          </w:tcPr>
          <w:p w14:paraId="540AA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A473F0">
        <w:tblPrEx>
          <w:tblCellMar>
            <w:top w:w="0" w:type="dxa"/>
            <w:left w:w="108" w:type="dxa"/>
            <w:bottom w:w="0" w:type="dxa"/>
            <w:right w:w="108" w:type="dxa"/>
          </w:tblCellMar>
        </w:tblPrEx>
        <w:trPr>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14:paraId="57940175">
            <w:pPr>
              <w:widowControl/>
              <w:jc w:val="left"/>
              <w:rPr>
                <w:rFonts w:hint="eastAsia" w:ascii="宋体" w:hAnsi="宋体" w:cs="宋体"/>
                <w:color w:val="000000"/>
                <w:kern w:val="0"/>
                <w:sz w:val="20"/>
                <w:szCs w:val="20"/>
              </w:rPr>
            </w:pP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6408C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8" w:type="dxa"/>
            <w:tcBorders>
              <w:top w:val="nil"/>
              <w:left w:val="nil"/>
              <w:bottom w:val="single" w:color="auto" w:sz="4" w:space="0"/>
              <w:right w:val="single" w:color="auto" w:sz="4" w:space="0"/>
            </w:tcBorders>
            <w:shd w:val="clear" w:color="auto" w:fill="auto"/>
            <w:vAlign w:val="center"/>
          </w:tcPr>
          <w:p w14:paraId="3F2B5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14:paraId="7DD29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13ACC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659D4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EF64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14:paraId="28C1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98E237">
        <w:tblPrEx>
          <w:tblCellMar>
            <w:top w:w="0" w:type="dxa"/>
            <w:left w:w="108" w:type="dxa"/>
            <w:bottom w:w="0" w:type="dxa"/>
            <w:right w:w="108" w:type="dxa"/>
          </w:tblCellMar>
        </w:tblPrEx>
        <w:trPr>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14:paraId="78007110">
            <w:pPr>
              <w:widowControl/>
              <w:jc w:val="left"/>
              <w:rPr>
                <w:rFonts w:hint="eastAsia" w:ascii="宋体" w:hAnsi="宋体" w:cs="宋体"/>
                <w:color w:val="000000"/>
                <w:kern w:val="0"/>
                <w:sz w:val="20"/>
                <w:szCs w:val="20"/>
              </w:rPr>
            </w:pPr>
          </w:p>
        </w:tc>
        <w:tc>
          <w:tcPr>
            <w:tcW w:w="1561" w:type="dxa"/>
            <w:gridSpan w:val="2"/>
            <w:tcBorders>
              <w:top w:val="single" w:color="auto" w:sz="4" w:space="0"/>
              <w:left w:val="nil"/>
              <w:bottom w:val="single" w:color="auto" w:sz="4" w:space="0"/>
              <w:right w:val="single" w:color="auto" w:sz="4" w:space="0"/>
            </w:tcBorders>
            <w:shd w:val="clear" w:color="auto" w:fill="auto"/>
            <w:vAlign w:val="center"/>
          </w:tcPr>
          <w:p w14:paraId="43FE5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58" w:type="dxa"/>
            <w:tcBorders>
              <w:top w:val="nil"/>
              <w:left w:val="nil"/>
              <w:bottom w:val="single" w:color="auto" w:sz="4" w:space="0"/>
              <w:right w:val="single" w:color="auto" w:sz="4" w:space="0"/>
            </w:tcBorders>
            <w:shd w:val="clear" w:color="auto" w:fill="auto"/>
          </w:tcPr>
          <w:p w14:paraId="0FBAF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7" w:type="dxa"/>
            <w:gridSpan w:val="2"/>
            <w:tcBorders>
              <w:top w:val="single" w:color="auto" w:sz="4" w:space="0"/>
              <w:left w:val="nil"/>
              <w:bottom w:val="single" w:color="auto" w:sz="4" w:space="0"/>
              <w:right w:val="single" w:color="auto" w:sz="4" w:space="0"/>
            </w:tcBorders>
            <w:shd w:val="clear" w:color="auto" w:fill="auto"/>
          </w:tcPr>
          <w:p w14:paraId="13BD8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9" w:type="dxa"/>
            <w:gridSpan w:val="2"/>
            <w:tcBorders>
              <w:top w:val="single" w:color="auto" w:sz="4" w:space="0"/>
              <w:left w:val="nil"/>
              <w:bottom w:val="single" w:color="auto" w:sz="4" w:space="0"/>
              <w:right w:val="single" w:color="auto" w:sz="4" w:space="0"/>
            </w:tcBorders>
            <w:shd w:val="clear" w:color="auto" w:fill="auto"/>
          </w:tcPr>
          <w:p w14:paraId="68329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78309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A25E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14:paraId="1C5C1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B099F9">
        <w:tblPrEx>
          <w:tblCellMar>
            <w:top w:w="0" w:type="dxa"/>
            <w:left w:w="108" w:type="dxa"/>
            <w:bottom w:w="0" w:type="dxa"/>
            <w:right w:w="108" w:type="dxa"/>
          </w:tblCellMar>
        </w:tblPrEx>
        <w:trPr>
          <w:trHeight w:val="288"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6B2B0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1" w:type="dxa"/>
            <w:gridSpan w:val="6"/>
            <w:tcBorders>
              <w:top w:val="single" w:color="auto" w:sz="4" w:space="0"/>
              <w:left w:val="nil"/>
              <w:bottom w:val="single" w:color="auto" w:sz="4" w:space="0"/>
              <w:right w:val="single" w:color="auto" w:sz="4" w:space="0"/>
            </w:tcBorders>
            <w:shd w:val="clear" w:color="auto" w:fill="auto"/>
            <w:vAlign w:val="center"/>
          </w:tcPr>
          <w:p w14:paraId="6C580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23" w:type="dxa"/>
            <w:gridSpan w:val="7"/>
            <w:tcBorders>
              <w:top w:val="single" w:color="auto" w:sz="4" w:space="0"/>
              <w:left w:val="nil"/>
              <w:bottom w:val="single" w:color="auto" w:sz="4" w:space="0"/>
              <w:right w:val="single" w:color="auto" w:sz="4" w:space="0"/>
            </w:tcBorders>
            <w:shd w:val="clear" w:color="auto" w:fill="auto"/>
            <w:vAlign w:val="center"/>
          </w:tcPr>
          <w:p w14:paraId="07CC7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D6816E">
        <w:tblPrEx>
          <w:tblCellMar>
            <w:top w:w="0" w:type="dxa"/>
            <w:left w:w="108" w:type="dxa"/>
            <w:bottom w:w="0" w:type="dxa"/>
            <w:right w:w="108" w:type="dxa"/>
          </w:tblCellMar>
        </w:tblPrEx>
        <w:trPr>
          <w:trHeight w:val="540"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170FC8AA">
            <w:pPr>
              <w:widowControl/>
              <w:jc w:val="left"/>
              <w:rPr>
                <w:rFonts w:hint="eastAsia" w:ascii="宋体" w:hAnsi="宋体" w:cs="宋体"/>
                <w:color w:val="000000"/>
                <w:kern w:val="0"/>
                <w:sz w:val="20"/>
                <w:szCs w:val="20"/>
              </w:rPr>
            </w:pPr>
          </w:p>
        </w:tc>
        <w:tc>
          <w:tcPr>
            <w:tcW w:w="4641" w:type="dxa"/>
            <w:gridSpan w:val="6"/>
            <w:tcBorders>
              <w:top w:val="single" w:color="auto" w:sz="4" w:space="0"/>
              <w:left w:val="nil"/>
              <w:bottom w:val="single" w:color="auto" w:sz="4" w:space="0"/>
              <w:right w:val="single" w:color="auto" w:sz="4" w:space="0"/>
            </w:tcBorders>
            <w:shd w:val="clear" w:color="auto" w:fill="auto"/>
          </w:tcPr>
          <w:p w14:paraId="5391E8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2023年度“为民办实事”驻村工作队经费分配指标，</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发展和改革委员会包联雀仁村为民办实事工作队分配12.89万元工作经费，用于为民办实事工作日常运转及为民办实事好事，该项目的实施可以有效加强美丽乡村建设，提高村民幸福感。</w:t>
            </w:r>
          </w:p>
        </w:tc>
        <w:tc>
          <w:tcPr>
            <w:tcW w:w="3223" w:type="dxa"/>
            <w:gridSpan w:val="7"/>
            <w:tcBorders>
              <w:top w:val="single" w:color="auto" w:sz="4" w:space="0"/>
              <w:left w:val="nil"/>
              <w:bottom w:val="single" w:color="auto" w:sz="4" w:space="0"/>
              <w:right w:val="single" w:color="auto" w:sz="4" w:space="0"/>
            </w:tcBorders>
            <w:shd w:val="clear" w:color="auto" w:fill="auto"/>
          </w:tcPr>
          <w:p w14:paraId="1F828F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截至本项目自评之日，我单位已完成如下工作：采购各类菜苗数量13000棵，2023年为民办实事经费已支付12.89万元，主要用于支付所驻村的为民办实事费用，有效加强了美丽乡村建设，提高了村民幸福感。</w:t>
            </w:r>
          </w:p>
        </w:tc>
      </w:tr>
      <w:tr w14:paraId="7E150D96">
        <w:tblPrEx>
          <w:tblCellMar>
            <w:top w:w="0" w:type="dxa"/>
            <w:left w:w="108" w:type="dxa"/>
            <w:bottom w:w="0" w:type="dxa"/>
            <w:right w:w="108" w:type="dxa"/>
          </w:tblCellMar>
        </w:tblPrEx>
        <w:trPr>
          <w:trHeight w:val="312"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363038DF">
            <w:pPr>
              <w:widowControl/>
              <w:jc w:val="center"/>
              <w:rPr>
                <w:rFonts w:hint="eastAsia" w:ascii="宋体" w:hAnsi="宋体" w:cs="宋体"/>
                <w:color w:val="000000"/>
                <w:kern w:val="0"/>
                <w:sz w:val="20"/>
                <w:szCs w:val="20"/>
              </w:rPr>
            </w:pP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73028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2" w:type="dxa"/>
            <w:vMerge w:val="restart"/>
            <w:tcBorders>
              <w:top w:val="nil"/>
              <w:left w:val="single" w:color="auto" w:sz="4" w:space="0"/>
              <w:bottom w:val="single" w:color="auto" w:sz="4" w:space="0"/>
              <w:right w:val="single" w:color="auto" w:sz="4" w:space="0"/>
            </w:tcBorders>
            <w:shd w:val="clear" w:color="auto" w:fill="auto"/>
            <w:vAlign w:val="center"/>
          </w:tcPr>
          <w:p w14:paraId="43684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5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EAC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1" w:type="dxa"/>
            <w:vMerge w:val="restart"/>
            <w:tcBorders>
              <w:top w:val="nil"/>
              <w:left w:val="single" w:color="auto" w:sz="4" w:space="0"/>
              <w:bottom w:val="single" w:color="auto" w:sz="4" w:space="0"/>
              <w:right w:val="single" w:color="auto" w:sz="4" w:space="0"/>
            </w:tcBorders>
            <w:shd w:val="clear" w:color="auto" w:fill="auto"/>
            <w:vAlign w:val="center"/>
          </w:tcPr>
          <w:p w14:paraId="53282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9" w:type="dxa"/>
            <w:vMerge w:val="restart"/>
            <w:tcBorders>
              <w:top w:val="nil"/>
              <w:left w:val="single" w:color="auto" w:sz="4" w:space="0"/>
              <w:bottom w:val="single" w:color="auto" w:sz="4" w:space="0"/>
              <w:right w:val="single" w:color="auto" w:sz="4" w:space="0"/>
            </w:tcBorders>
            <w:shd w:val="clear" w:color="auto" w:fill="auto"/>
            <w:vAlign w:val="center"/>
          </w:tcPr>
          <w:p w14:paraId="46878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78F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490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ADE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5AA0E1">
        <w:tblPrEx>
          <w:tblCellMar>
            <w:top w:w="0" w:type="dxa"/>
            <w:left w:w="108" w:type="dxa"/>
            <w:bottom w:w="0" w:type="dxa"/>
            <w:right w:w="108" w:type="dxa"/>
          </w:tblCellMar>
        </w:tblPrEx>
        <w:trPr>
          <w:trHeight w:val="312"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08B73B57">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786C3837">
            <w:pPr>
              <w:widowControl/>
              <w:jc w:val="left"/>
              <w:rPr>
                <w:rFonts w:hint="eastAsia" w:ascii="宋体" w:hAnsi="宋体" w:cs="宋体"/>
                <w:color w:val="000000"/>
                <w:kern w:val="0"/>
                <w:sz w:val="20"/>
                <w:szCs w:val="20"/>
              </w:rPr>
            </w:pPr>
          </w:p>
        </w:tc>
        <w:tc>
          <w:tcPr>
            <w:tcW w:w="1222" w:type="dxa"/>
            <w:vMerge w:val="continue"/>
            <w:tcBorders>
              <w:top w:val="nil"/>
              <w:left w:val="single" w:color="auto" w:sz="4" w:space="0"/>
              <w:bottom w:val="single" w:color="auto" w:sz="4" w:space="0"/>
              <w:right w:val="single" w:color="auto" w:sz="4" w:space="0"/>
            </w:tcBorders>
            <w:vAlign w:val="center"/>
          </w:tcPr>
          <w:p w14:paraId="6AB59E59">
            <w:pPr>
              <w:widowControl/>
              <w:jc w:val="left"/>
              <w:rPr>
                <w:rFonts w:hint="eastAsia" w:ascii="宋体" w:hAnsi="宋体" w:cs="宋体"/>
                <w:color w:val="000000"/>
                <w:kern w:val="0"/>
                <w:sz w:val="20"/>
                <w:szCs w:val="20"/>
              </w:rPr>
            </w:pPr>
          </w:p>
        </w:tc>
        <w:tc>
          <w:tcPr>
            <w:tcW w:w="2053" w:type="dxa"/>
            <w:gridSpan w:val="3"/>
            <w:vMerge w:val="continue"/>
            <w:tcBorders>
              <w:top w:val="single" w:color="auto" w:sz="4" w:space="0"/>
              <w:left w:val="single" w:color="auto" w:sz="4" w:space="0"/>
              <w:bottom w:val="single" w:color="auto" w:sz="4" w:space="0"/>
              <w:right w:val="single" w:color="auto" w:sz="4" w:space="0"/>
            </w:tcBorders>
            <w:vAlign w:val="center"/>
          </w:tcPr>
          <w:p w14:paraId="5488ACA6">
            <w:pPr>
              <w:widowControl/>
              <w:jc w:val="left"/>
              <w:rPr>
                <w:rFonts w:hint="eastAsia" w:ascii="宋体" w:hAnsi="宋体" w:cs="宋体"/>
                <w:color w:val="000000"/>
                <w:kern w:val="0"/>
                <w:sz w:val="20"/>
                <w:szCs w:val="20"/>
              </w:rPr>
            </w:pPr>
          </w:p>
        </w:tc>
        <w:tc>
          <w:tcPr>
            <w:tcW w:w="931" w:type="dxa"/>
            <w:vMerge w:val="continue"/>
            <w:tcBorders>
              <w:top w:val="nil"/>
              <w:left w:val="single" w:color="auto" w:sz="4" w:space="0"/>
              <w:bottom w:val="single" w:color="auto" w:sz="4" w:space="0"/>
              <w:right w:val="single" w:color="auto" w:sz="4" w:space="0"/>
            </w:tcBorders>
            <w:vAlign w:val="center"/>
          </w:tcPr>
          <w:p w14:paraId="1A5440DC">
            <w:pPr>
              <w:widowControl/>
              <w:jc w:val="left"/>
              <w:rPr>
                <w:rFonts w:hint="eastAsia" w:ascii="宋体" w:hAnsi="宋体" w:cs="宋体"/>
                <w:color w:val="000000"/>
                <w:kern w:val="0"/>
                <w:sz w:val="20"/>
                <w:szCs w:val="20"/>
              </w:rPr>
            </w:pPr>
          </w:p>
        </w:tc>
        <w:tc>
          <w:tcPr>
            <w:tcW w:w="829" w:type="dxa"/>
            <w:vMerge w:val="continue"/>
            <w:tcBorders>
              <w:top w:val="nil"/>
              <w:left w:val="single" w:color="auto" w:sz="4" w:space="0"/>
              <w:bottom w:val="single" w:color="auto" w:sz="4" w:space="0"/>
              <w:right w:val="single" w:color="auto" w:sz="4" w:space="0"/>
            </w:tcBorders>
            <w:vAlign w:val="center"/>
          </w:tcPr>
          <w:p w14:paraId="2D49089F">
            <w:pPr>
              <w:widowControl/>
              <w:jc w:val="left"/>
              <w:rPr>
                <w:rFonts w:hint="eastAsia" w:ascii="宋体" w:hAnsi="宋体" w:cs="宋体"/>
                <w:color w:val="000000"/>
                <w:kern w:val="0"/>
                <w:sz w:val="20"/>
                <w:szCs w:val="20"/>
              </w:rPr>
            </w:pPr>
          </w:p>
        </w:tc>
        <w:tc>
          <w:tcPr>
            <w:tcW w:w="551" w:type="dxa"/>
            <w:gridSpan w:val="2"/>
            <w:vMerge w:val="continue"/>
            <w:tcBorders>
              <w:top w:val="single" w:color="auto" w:sz="4" w:space="0"/>
              <w:left w:val="single" w:color="auto" w:sz="4" w:space="0"/>
              <w:bottom w:val="single" w:color="auto" w:sz="4" w:space="0"/>
              <w:right w:val="single" w:color="auto" w:sz="4" w:space="0"/>
            </w:tcBorders>
            <w:vAlign w:val="center"/>
          </w:tcPr>
          <w:p w14:paraId="65DC874A">
            <w:pPr>
              <w:widowControl/>
              <w:jc w:val="left"/>
              <w:rPr>
                <w:rFonts w:hint="eastAsia" w:ascii="宋体" w:hAnsi="宋体" w:cs="宋体"/>
                <w:color w:val="000000"/>
                <w:kern w:val="0"/>
                <w:sz w:val="20"/>
                <w:szCs w:val="20"/>
              </w:rPr>
            </w:pPr>
          </w:p>
        </w:tc>
        <w:tc>
          <w:tcPr>
            <w:tcW w:w="746" w:type="dxa"/>
            <w:gridSpan w:val="2"/>
            <w:vMerge w:val="continue"/>
            <w:tcBorders>
              <w:top w:val="single" w:color="auto" w:sz="4" w:space="0"/>
              <w:left w:val="single" w:color="auto" w:sz="4" w:space="0"/>
              <w:bottom w:val="single" w:color="auto" w:sz="4" w:space="0"/>
              <w:right w:val="single" w:color="auto" w:sz="4" w:space="0"/>
            </w:tcBorders>
            <w:vAlign w:val="center"/>
          </w:tcPr>
          <w:p w14:paraId="583EFF51">
            <w:pPr>
              <w:widowControl/>
              <w:jc w:val="left"/>
              <w:rPr>
                <w:rFonts w:hint="eastAsia" w:ascii="宋体" w:hAnsi="宋体" w:cs="宋体"/>
                <w:color w:val="000000"/>
                <w:kern w:val="0"/>
                <w:sz w:val="20"/>
                <w:szCs w:val="20"/>
              </w:rPr>
            </w:pPr>
          </w:p>
        </w:tc>
        <w:tc>
          <w:tcPr>
            <w:tcW w:w="1097" w:type="dxa"/>
            <w:gridSpan w:val="2"/>
            <w:vMerge w:val="continue"/>
            <w:tcBorders>
              <w:top w:val="single" w:color="auto" w:sz="4" w:space="0"/>
              <w:left w:val="single" w:color="auto" w:sz="4" w:space="0"/>
              <w:bottom w:val="single" w:color="auto" w:sz="4" w:space="0"/>
              <w:right w:val="single" w:color="auto" w:sz="4" w:space="0"/>
            </w:tcBorders>
            <w:vAlign w:val="center"/>
          </w:tcPr>
          <w:p w14:paraId="03D5B3AD">
            <w:pPr>
              <w:widowControl/>
              <w:jc w:val="left"/>
              <w:rPr>
                <w:rFonts w:hint="eastAsia" w:ascii="宋体" w:hAnsi="宋体" w:cs="宋体"/>
                <w:color w:val="000000"/>
                <w:kern w:val="0"/>
                <w:sz w:val="20"/>
                <w:szCs w:val="20"/>
              </w:rPr>
            </w:pPr>
          </w:p>
        </w:tc>
      </w:tr>
      <w:tr w14:paraId="483D91A4">
        <w:tblPrEx>
          <w:tblCellMar>
            <w:top w:w="0" w:type="dxa"/>
            <w:left w:w="108" w:type="dxa"/>
            <w:bottom w:w="0" w:type="dxa"/>
            <w:right w:w="108" w:type="dxa"/>
          </w:tblCellMar>
        </w:tblPrEx>
        <w:trPr>
          <w:trHeight w:val="399"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07DAB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6CCFA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2" w:type="dxa"/>
            <w:tcBorders>
              <w:top w:val="nil"/>
              <w:left w:val="nil"/>
              <w:bottom w:val="single" w:color="auto" w:sz="4" w:space="0"/>
              <w:right w:val="single" w:color="auto" w:sz="4" w:space="0"/>
            </w:tcBorders>
            <w:shd w:val="clear" w:color="auto" w:fill="auto"/>
            <w:vAlign w:val="center"/>
          </w:tcPr>
          <w:p w14:paraId="74716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3D80F4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支持工作队数量</w:t>
            </w:r>
          </w:p>
        </w:tc>
        <w:tc>
          <w:tcPr>
            <w:tcW w:w="931" w:type="dxa"/>
            <w:tcBorders>
              <w:top w:val="nil"/>
              <w:left w:val="nil"/>
              <w:bottom w:val="single" w:color="auto" w:sz="4" w:space="0"/>
              <w:right w:val="single" w:color="auto" w:sz="4" w:space="0"/>
            </w:tcBorders>
            <w:shd w:val="clear" w:color="auto" w:fill="auto"/>
            <w:vAlign w:val="center"/>
          </w:tcPr>
          <w:p w14:paraId="173F1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29" w:type="dxa"/>
            <w:tcBorders>
              <w:top w:val="nil"/>
              <w:left w:val="nil"/>
              <w:bottom w:val="single" w:color="auto" w:sz="4" w:space="0"/>
              <w:right w:val="single" w:color="auto" w:sz="4" w:space="0"/>
            </w:tcBorders>
            <w:shd w:val="clear" w:color="auto" w:fill="auto"/>
            <w:vAlign w:val="center"/>
          </w:tcPr>
          <w:p w14:paraId="6A56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51D7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766FD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3B22FC80">
            <w:pPr>
              <w:widowControl/>
              <w:jc w:val="center"/>
              <w:rPr>
                <w:rFonts w:hint="eastAsia" w:ascii="宋体" w:hAnsi="宋体" w:cs="宋体"/>
                <w:color w:val="000000"/>
                <w:kern w:val="0"/>
                <w:sz w:val="20"/>
                <w:szCs w:val="20"/>
              </w:rPr>
            </w:pPr>
          </w:p>
        </w:tc>
      </w:tr>
      <w:tr w14:paraId="7E32E038">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D0923EE">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2B45C1E">
            <w:pPr>
              <w:widowControl/>
              <w:jc w:val="left"/>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14:paraId="3C3ED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510E01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采购各类菜苗数量</w:t>
            </w:r>
          </w:p>
        </w:tc>
        <w:tc>
          <w:tcPr>
            <w:tcW w:w="931" w:type="dxa"/>
            <w:tcBorders>
              <w:top w:val="nil"/>
              <w:left w:val="nil"/>
              <w:bottom w:val="single" w:color="auto" w:sz="4" w:space="0"/>
              <w:right w:val="single" w:color="auto" w:sz="4" w:space="0"/>
            </w:tcBorders>
            <w:shd w:val="clear" w:color="auto" w:fill="auto"/>
            <w:vAlign w:val="center"/>
          </w:tcPr>
          <w:p w14:paraId="21552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&gt;=12000棵</w:t>
            </w:r>
          </w:p>
        </w:tc>
        <w:tc>
          <w:tcPr>
            <w:tcW w:w="829" w:type="dxa"/>
            <w:tcBorders>
              <w:top w:val="nil"/>
              <w:left w:val="nil"/>
              <w:bottom w:val="single" w:color="auto" w:sz="4" w:space="0"/>
              <w:right w:val="single" w:color="auto" w:sz="4" w:space="0"/>
            </w:tcBorders>
            <w:shd w:val="clear" w:color="auto" w:fill="auto"/>
            <w:vAlign w:val="center"/>
          </w:tcPr>
          <w:p w14:paraId="5BF17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=13000棵</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5AB0B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8836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746C6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采购菜苗数量增加。</w:t>
            </w:r>
          </w:p>
        </w:tc>
      </w:tr>
      <w:tr w14:paraId="3126DA23">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00D0BF75">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34D8966">
            <w:pPr>
              <w:widowControl/>
              <w:jc w:val="left"/>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14:paraId="309CF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113399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采购安装一氧化碳报警器数量</w:t>
            </w:r>
          </w:p>
        </w:tc>
        <w:tc>
          <w:tcPr>
            <w:tcW w:w="931" w:type="dxa"/>
            <w:tcBorders>
              <w:top w:val="nil"/>
              <w:left w:val="nil"/>
              <w:bottom w:val="single" w:color="auto" w:sz="4" w:space="0"/>
              <w:right w:val="single" w:color="auto" w:sz="4" w:space="0"/>
            </w:tcBorders>
            <w:shd w:val="clear" w:color="auto" w:fill="auto"/>
            <w:vAlign w:val="center"/>
          </w:tcPr>
          <w:p w14:paraId="03A40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&gt;=180个</w:t>
            </w:r>
          </w:p>
        </w:tc>
        <w:tc>
          <w:tcPr>
            <w:tcW w:w="829" w:type="dxa"/>
            <w:tcBorders>
              <w:top w:val="nil"/>
              <w:left w:val="nil"/>
              <w:bottom w:val="single" w:color="auto" w:sz="4" w:space="0"/>
              <w:right w:val="single" w:color="auto" w:sz="4" w:space="0"/>
            </w:tcBorders>
            <w:shd w:val="clear" w:color="auto" w:fill="auto"/>
            <w:vAlign w:val="center"/>
          </w:tcPr>
          <w:p w14:paraId="45AD1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=180个</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1C232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0AC30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77591FD3">
            <w:pPr>
              <w:widowControl/>
              <w:jc w:val="center"/>
              <w:rPr>
                <w:rFonts w:hint="eastAsia" w:ascii="宋体" w:hAnsi="宋体" w:cs="宋体"/>
                <w:color w:val="000000"/>
                <w:kern w:val="0"/>
                <w:sz w:val="20"/>
                <w:szCs w:val="20"/>
              </w:rPr>
            </w:pPr>
          </w:p>
        </w:tc>
      </w:tr>
      <w:tr w14:paraId="55F8D665">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3A8B4D8D">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0D2AF617">
            <w:pPr>
              <w:widowControl/>
              <w:jc w:val="left"/>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14:paraId="442F7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6C1B28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采购用品合格率</w:t>
            </w:r>
          </w:p>
        </w:tc>
        <w:tc>
          <w:tcPr>
            <w:tcW w:w="931" w:type="dxa"/>
            <w:tcBorders>
              <w:top w:val="nil"/>
              <w:left w:val="nil"/>
              <w:bottom w:val="single" w:color="auto" w:sz="4" w:space="0"/>
              <w:right w:val="single" w:color="auto" w:sz="4" w:space="0"/>
            </w:tcBorders>
            <w:shd w:val="clear" w:color="auto" w:fill="auto"/>
            <w:vAlign w:val="center"/>
          </w:tcPr>
          <w:p w14:paraId="68ECF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tcBorders>
              <w:top w:val="nil"/>
              <w:left w:val="nil"/>
              <w:bottom w:val="single" w:color="auto" w:sz="4" w:space="0"/>
              <w:right w:val="single" w:color="auto" w:sz="4" w:space="0"/>
            </w:tcBorders>
            <w:shd w:val="clear" w:color="auto" w:fill="auto"/>
            <w:vAlign w:val="center"/>
          </w:tcPr>
          <w:p w14:paraId="658EB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F079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51188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35BAAFD9">
            <w:pPr>
              <w:widowControl/>
              <w:jc w:val="center"/>
              <w:rPr>
                <w:rFonts w:hint="eastAsia" w:ascii="宋体" w:hAnsi="宋体" w:cs="宋体"/>
                <w:color w:val="000000"/>
                <w:kern w:val="0"/>
                <w:sz w:val="20"/>
                <w:szCs w:val="20"/>
              </w:rPr>
            </w:pPr>
          </w:p>
        </w:tc>
      </w:tr>
      <w:tr w14:paraId="22422026">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4645D43B">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7FEBB8B7">
            <w:pPr>
              <w:widowControl/>
              <w:jc w:val="left"/>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14:paraId="111A4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389B95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采购完成及时率</w:t>
            </w:r>
          </w:p>
        </w:tc>
        <w:tc>
          <w:tcPr>
            <w:tcW w:w="931" w:type="dxa"/>
            <w:tcBorders>
              <w:top w:val="nil"/>
              <w:left w:val="nil"/>
              <w:bottom w:val="single" w:color="auto" w:sz="4" w:space="0"/>
              <w:right w:val="single" w:color="auto" w:sz="4" w:space="0"/>
            </w:tcBorders>
            <w:shd w:val="clear" w:color="auto" w:fill="auto"/>
            <w:vAlign w:val="center"/>
          </w:tcPr>
          <w:p w14:paraId="43CED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tcBorders>
              <w:top w:val="nil"/>
              <w:left w:val="nil"/>
              <w:bottom w:val="single" w:color="auto" w:sz="4" w:space="0"/>
              <w:right w:val="single" w:color="auto" w:sz="4" w:space="0"/>
            </w:tcBorders>
            <w:shd w:val="clear" w:color="auto" w:fill="auto"/>
            <w:vAlign w:val="center"/>
          </w:tcPr>
          <w:p w14:paraId="72592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61A63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0392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6B07B89C">
            <w:pPr>
              <w:widowControl/>
              <w:jc w:val="center"/>
              <w:rPr>
                <w:rFonts w:hint="eastAsia" w:ascii="宋体" w:hAnsi="宋体" w:cs="宋体"/>
                <w:color w:val="000000"/>
                <w:kern w:val="0"/>
                <w:sz w:val="20"/>
                <w:szCs w:val="20"/>
              </w:rPr>
            </w:pPr>
          </w:p>
        </w:tc>
      </w:tr>
      <w:tr w14:paraId="34BAB90D">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5DD825CC">
            <w:pPr>
              <w:widowControl/>
              <w:jc w:val="left"/>
              <w:rPr>
                <w:rFonts w:hint="eastAsia" w:ascii="宋体" w:hAnsi="宋体" w:cs="宋体"/>
                <w:color w:val="000000"/>
                <w:kern w:val="0"/>
                <w:sz w:val="20"/>
                <w:szCs w:val="20"/>
              </w:rPr>
            </w:pP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482EF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2" w:type="dxa"/>
            <w:tcBorders>
              <w:top w:val="nil"/>
              <w:left w:val="nil"/>
              <w:bottom w:val="single" w:color="auto" w:sz="4" w:space="0"/>
              <w:right w:val="single" w:color="auto" w:sz="4" w:space="0"/>
            </w:tcBorders>
            <w:shd w:val="clear" w:color="auto" w:fill="auto"/>
            <w:vAlign w:val="center"/>
          </w:tcPr>
          <w:p w14:paraId="4C6E5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413D8E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采购树苗成本</w:t>
            </w:r>
          </w:p>
        </w:tc>
        <w:tc>
          <w:tcPr>
            <w:tcW w:w="931" w:type="dxa"/>
            <w:tcBorders>
              <w:top w:val="nil"/>
              <w:left w:val="nil"/>
              <w:bottom w:val="single" w:color="auto" w:sz="4" w:space="0"/>
              <w:right w:val="single" w:color="auto" w:sz="4" w:space="0"/>
            </w:tcBorders>
            <w:shd w:val="clear" w:color="auto" w:fill="auto"/>
            <w:vAlign w:val="center"/>
          </w:tcPr>
          <w:p w14:paraId="717DB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&lt;=0.52万元</w:t>
            </w:r>
          </w:p>
        </w:tc>
        <w:tc>
          <w:tcPr>
            <w:tcW w:w="829" w:type="dxa"/>
            <w:tcBorders>
              <w:top w:val="nil"/>
              <w:left w:val="nil"/>
              <w:bottom w:val="single" w:color="auto" w:sz="4" w:space="0"/>
              <w:right w:val="single" w:color="auto" w:sz="4" w:space="0"/>
            </w:tcBorders>
            <w:shd w:val="clear" w:color="auto" w:fill="auto"/>
            <w:vAlign w:val="center"/>
          </w:tcPr>
          <w:p w14:paraId="7E872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=0.52万元</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1CBC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22DCF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12E34AD6">
            <w:pPr>
              <w:widowControl/>
              <w:jc w:val="center"/>
              <w:rPr>
                <w:rFonts w:hint="eastAsia" w:ascii="宋体" w:hAnsi="宋体" w:cs="宋体"/>
                <w:color w:val="000000"/>
                <w:kern w:val="0"/>
                <w:sz w:val="20"/>
                <w:szCs w:val="20"/>
              </w:rPr>
            </w:pPr>
          </w:p>
        </w:tc>
      </w:tr>
      <w:tr w14:paraId="37F87544">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A5A023C">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A14A1D1">
            <w:pPr>
              <w:widowControl/>
              <w:jc w:val="left"/>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14:paraId="3490D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328975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采购一氧化碳报警器成本</w:t>
            </w:r>
          </w:p>
        </w:tc>
        <w:tc>
          <w:tcPr>
            <w:tcW w:w="931" w:type="dxa"/>
            <w:tcBorders>
              <w:top w:val="nil"/>
              <w:left w:val="nil"/>
              <w:bottom w:val="single" w:color="auto" w:sz="4" w:space="0"/>
              <w:right w:val="single" w:color="auto" w:sz="4" w:space="0"/>
            </w:tcBorders>
            <w:shd w:val="clear" w:color="auto" w:fill="auto"/>
            <w:vAlign w:val="center"/>
          </w:tcPr>
          <w:p w14:paraId="5E5E8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&lt;=0.54万元</w:t>
            </w:r>
          </w:p>
        </w:tc>
        <w:tc>
          <w:tcPr>
            <w:tcW w:w="829" w:type="dxa"/>
            <w:tcBorders>
              <w:top w:val="nil"/>
              <w:left w:val="nil"/>
              <w:bottom w:val="single" w:color="auto" w:sz="4" w:space="0"/>
              <w:right w:val="single" w:color="auto" w:sz="4" w:space="0"/>
            </w:tcBorders>
            <w:shd w:val="clear" w:color="auto" w:fill="auto"/>
            <w:vAlign w:val="center"/>
          </w:tcPr>
          <w:p w14:paraId="6A99D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=0.54万元</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A0DC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6DC11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23601453">
            <w:pPr>
              <w:widowControl/>
              <w:jc w:val="center"/>
              <w:rPr>
                <w:rFonts w:hint="eastAsia" w:ascii="宋体" w:hAnsi="宋体" w:cs="宋体"/>
                <w:color w:val="000000"/>
                <w:kern w:val="0"/>
                <w:sz w:val="20"/>
                <w:szCs w:val="20"/>
              </w:rPr>
            </w:pPr>
          </w:p>
        </w:tc>
      </w:tr>
      <w:tr w14:paraId="7C0C5611">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BB74D5D">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421FE04C">
            <w:pPr>
              <w:widowControl/>
              <w:jc w:val="left"/>
              <w:rPr>
                <w:rFonts w:hint="eastAsia" w:ascii="宋体" w:hAnsi="宋体" w:cs="宋体"/>
                <w:color w:val="000000"/>
                <w:kern w:val="0"/>
                <w:sz w:val="20"/>
                <w:szCs w:val="20"/>
              </w:rPr>
            </w:pPr>
          </w:p>
        </w:tc>
        <w:tc>
          <w:tcPr>
            <w:tcW w:w="1222" w:type="dxa"/>
            <w:tcBorders>
              <w:top w:val="nil"/>
              <w:left w:val="nil"/>
              <w:bottom w:val="single" w:color="auto" w:sz="4" w:space="0"/>
              <w:right w:val="single" w:color="auto" w:sz="4" w:space="0"/>
            </w:tcBorders>
            <w:shd w:val="clear" w:color="auto" w:fill="auto"/>
            <w:vAlign w:val="center"/>
          </w:tcPr>
          <w:p w14:paraId="5BEC9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1F7DD5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受益村民户数</w:t>
            </w:r>
          </w:p>
        </w:tc>
        <w:tc>
          <w:tcPr>
            <w:tcW w:w="931" w:type="dxa"/>
            <w:tcBorders>
              <w:top w:val="nil"/>
              <w:left w:val="nil"/>
              <w:bottom w:val="single" w:color="auto" w:sz="4" w:space="0"/>
              <w:right w:val="single" w:color="auto" w:sz="4" w:space="0"/>
            </w:tcBorders>
            <w:shd w:val="clear" w:color="auto" w:fill="auto"/>
            <w:vAlign w:val="center"/>
          </w:tcPr>
          <w:p w14:paraId="39673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&gt;=180户</w:t>
            </w:r>
          </w:p>
        </w:tc>
        <w:tc>
          <w:tcPr>
            <w:tcW w:w="829" w:type="dxa"/>
            <w:tcBorders>
              <w:top w:val="nil"/>
              <w:left w:val="nil"/>
              <w:bottom w:val="single" w:color="auto" w:sz="4" w:space="0"/>
              <w:right w:val="single" w:color="auto" w:sz="4" w:space="0"/>
            </w:tcBorders>
            <w:shd w:val="clear" w:color="auto" w:fill="auto"/>
            <w:vAlign w:val="center"/>
          </w:tcPr>
          <w:p w14:paraId="47924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=180户</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52028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632C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256A5A06">
            <w:pPr>
              <w:widowControl/>
              <w:jc w:val="center"/>
              <w:rPr>
                <w:rFonts w:hint="eastAsia" w:ascii="宋体" w:hAnsi="宋体" w:cs="宋体"/>
                <w:color w:val="000000"/>
                <w:kern w:val="0"/>
                <w:sz w:val="20"/>
                <w:szCs w:val="20"/>
              </w:rPr>
            </w:pPr>
          </w:p>
        </w:tc>
      </w:tr>
      <w:tr w14:paraId="6B2574BF">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8E01F71">
            <w:pPr>
              <w:widowControl/>
              <w:jc w:val="left"/>
              <w:rPr>
                <w:rFonts w:hint="eastAsia" w:ascii="宋体" w:hAnsi="宋体" w:cs="宋体"/>
                <w:color w:val="000000"/>
                <w:kern w:val="0"/>
                <w:sz w:val="20"/>
                <w:szCs w:val="20"/>
              </w:rPr>
            </w:pPr>
          </w:p>
        </w:tc>
        <w:tc>
          <w:tcPr>
            <w:tcW w:w="435" w:type="dxa"/>
            <w:tcBorders>
              <w:top w:val="nil"/>
              <w:left w:val="nil"/>
              <w:bottom w:val="single" w:color="auto" w:sz="4" w:space="0"/>
              <w:right w:val="single" w:color="auto" w:sz="4" w:space="0"/>
            </w:tcBorders>
            <w:shd w:val="clear" w:color="auto" w:fill="auto"/>
            <w:vAlign w:val="center"/>
          </w:tcPr>
          <w:p w14:paraId="49232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2" w:type="dxa"/>
            <w:tcBorders>
              <w:top w:val="nil"/>
              <w:left w:val="nil"/>
              <w:bottom w:val="single" w:color="auto" w:sz="4" w:space="0"/>
              <w:right w:val="single" w:color="auto" w:sz="4" w:space="0"/>
            </w:tcBorders>
            <w:shd w:val="clear" w:color="auto" w:fill="auto"/>
            <w:vAlign w:val="center"/>
          </w:tcPr>
          <w:p w14:paraId="6399D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200F99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31" w:type="dxa"/>
            <w:tcBorders>
              <w:top w:val="nil"/>
              <w:left w:val="nil"/>
              <w:bottom w:val="single" w:color="auto" w:sz="4" w:space="0"/>
              <w:right w:val="single" w:color="auto" w:sz="4" w:space="0"/>
            </w:tcBorders>
            <w:shd w:val="clear" w:color="auto" w:fill="auto"/>
            <w:vAlign w:val="center"/>
          </w:tcPr>
          <w:p w14:paraId="116E3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9" w:type="dxa"/>
            <w:tcBorders>
              <w:top w:val="nil"/>
              <w:left w:val="nil"/>
              <w:bottom w:val="single" w:color="auto" w:sz="4" w:space="0"/>
              <w:right w:val="single" w:color="auto" w:sz="4" w:space="0"/>
            </w:tcBorders>
            <w:shd w:val="clear" w:color="auto" w:fill="auto"/>
            <w:vAlign w:val="center"/>
          </w:tcPr>
          <w:p w14:paraId="4C6AE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3BC95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35CED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5C37FE59">
            <w:pPr>
              <w:widowControl/>
              <w:jc w:val="center"/>
              <w:rPr>
                <w:rFonts w:hint="eastAsia" w:ascii="宋体" w:hAnsi="宋体" w:cs="宋体"/>
                <w:color w:val="000000"/>
                <w:kern w:val="0"/>
                <w:sz w:val="20"/>
                <w:szCs w:val="20"/>
              </w:rPr>
            </w:pPr>
          </w:p>
        </w:tc>
      </w:tr>
      <w:tr w14:paraId="3375C476">
        <w:tblPrEx>
          <w:tblCellMar>
            <w:top w:w="0" w:type="dxa"/>
            <w:left w:w="108" w:type="dxa"/>
            <w:bottom w:w="0" w:type="dxa"/>
            <w:right w:w="108" w:type="dxa"/>
          </w:tblCellMar>
        </w:tblPrEx>
        <w:trPr>
          <w:trHeight w:val="288" w:hRule="atLeast"/>
          <w:jc w:val="center"/>
        </w:trPr>
        <w:tc>
          <w:tcPr>
            <w:tcW w:w="590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FCA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7616F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69D7D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184BEAA7">
            <w:pPr>
              <w:widowControl/>
              <w:jc w:val="center"/>
              <w:rPr>
                <w:rFonts w:hint="eastAsia" w:ascii="宋体" w:hAnsi="宋体" w:cs="宋体"/>
                <w:color w:val="000000"/>
                <w:kern w:val="0"/>
                <w:sz w:val="20"/>
                <w:szCs w:val="20"/>
              </w:rPr>
            </w:pPr>
          </w:p>
        </w:tc>
      </w:tr>
    </w:tbl>
    <w:p w14:paraId="47FEBAC2">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1"/>
        <w:gridCol w:w="491"/>
        <w:gridCol w:w="1393"/>
        <w:gridCol w:w="194"/>
        <w:gridCol w:w="900"/>
        <w:gridCol w:w="558"/>
        <w:gridCol w:w="886"/>
        <w:gridCol w:w="781"/>
        <w:gridCol w:w="243"/>
        <w:gridCol w:w="402"/>
        <w:gridCol w:w="255"/>
        <w:gridCol w:w="557"/>
        <w:gridCol w:w="397"/>
        <w:gridCol w:w="751"/>
      </w:tblGrid>
      <w:tr w14:paraId="0F0C96D5">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4F80C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20351E0">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032DD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4405D26">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68C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72F6E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发改委中央财政产粮大县奖励金</w:t>
            </w:r>
          </w:p>
        </w:tc>
      </w:tr>
      <w:tr w14:paraId="780547D1">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422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2" w:type="dxa"/>
            <w:gridSpan w:val="5"/>
            <w:tcBorders>
              <w:top w:val="single" w:color="auto" w:sz="4" w:space="0"/>
              <w:left w:val="nil"/>
              <w:bottom w:val="single" w:color="auto" w:sz="4" w:space="0"/>
              <w:right w:val="single" w:color="auto" w:sz="4" w:space="0"/>
            </w:tcBorders>
            <w:shd w:val="clear" w:color="auto" w:fill="auto"/>
            <w:vAlign w:val="center"/>
          </w:tcPr>
          <w:p w14:paraId="6863E3E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5B2C2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2" w:type="dxa"/>
            <w:gridSpan w:val="5"/>
            <w:tcBorders>
              <w:top w:val="single" w:color="auto" w:sz="4" w:space="0"/>
              <w:left w:val="nil"/>
              <w:bottom w:val="single" w:color="auto" w:sz="4" w:space="0"/>
              <w:right w:val="single" w:color="auto" w:sz="4" w:space="0"/>
            </w:tcBorders>
            <w:shd w:val="clear" w:color="auto" w:fill="auto"/>
            <w:vAlign w:val="center"/>
          </w:tcPr>
          <w:p w14:paraId="473C869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r>
      <w:tr w14:paraId="7E130BA3">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A1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27F2F7CE">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2F195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B80A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11ACE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0EF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7FEB2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A468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D83313">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BB27137">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47AE0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B690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6E86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1D00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5175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0BCA4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9D46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7F06D5">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82C140D">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7E0A2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5971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0CF3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58697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1784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5F9DD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6644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CAF0DD">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7435C25D">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4D6E5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C332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72103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4" w:type="dxa"/>
            <w:gridSpan w:val="2"/>
            <w:tcBorders>
              <w:top w:val="single" w:color="auto" w:sz="4" w:space="0"/>
              <w:left w:val="nil"/>
              <w:bottom w:val="single" w:color="auto" w:sz="4" w:space="0"/>
              <w:right w:val="single" w:color="auto" w:sz="4" w:space="0"/>
            </w:tcBorders>
            <w:shd w:val="clear" w:color="auto" w:fill="auto"/>
          </w:tcPr>
          <w:p w14:paraId="7323B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C217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6B387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F94C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AFC9D4">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6871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3" w:type="dxa"/>
            <w:gridSpan w:val="6"/>
            <w:tcBorders>
              <w:top w:val="single" w:color="auto" w:sz="4" w:space="0"/>
              <w:left w:val="nil"/>
              <w:bottom w:val="single" w:color="auto" w:sz="4" w:space="0"/>
              <w:right w:val="single" w:color="auto" w:sz="4" w:space="0"/>
            </w:tcBorders>
            <w:shd w:val="clear" w:color="auto" w:fill="auto"/>
            <w:vAlign w:val="center"/>
          </w:tcPr>
          <w:p w14:paraId="56DF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6" w:type="dxa"/>
            <w:gridSpan w:val="7"/>
            <w:tcBorders>
              <w:top w:val="single" w:color="auto" w:sz="4" w:space="0"/>
              <w:left w:val="nil"/>
              <w:bottom w:val="single" w:color="auto" w:sz="4" w:space="0"/>
              <w:right w:val="single" w:color="auto" w:sz="4" w:space="0"/>
            </w:tcBorders>
            <w:shd w:val="clear" w:color="auto" w:fill="auto"/>
            <w:vAlign w:val="center"/>
          </w:tcPr>
          <w:p w14:paraId="4F3B8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C5CE41">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4DEA68E">
            <w:pPr>
              <w:widowControl/>
              <w:jc w:val="left"/>
              <w:rPr>
                <w:rFonts w:hint="eastAsia" w:ascii="宋体" w:hAnsi="宋体" w:cs="宋体"/>
                <w:color w:val="000000"/>
                <w:kern w:val="0"/>
                <w:sz w:val="20"/>
                <w:szCs w:val="20"/>
              </w:rPr>
            </w:pPr>
          </w:p>
        </w:tc>
        <w:tc>
          <w:tcPr>
            <w:tcW w:w="4423" w:type="dxa"/>
            <w:gridSpan w:val="6"/>
            <w:tcBorders>
              <w:top w:val="single" w:color="auto" w:sz="4" w:space="0"/>
              <w:left w:val="nil"/>
              <w:bottom w:val="single" w:color="auto" w:sz="4" w:space="0"/>
              <w:right w:val="single" w:color="auto" w:sz="4" w:space="0"/>
            </w:tcBorders>
            <w:shd w:val="clear" w:color="auto" w:fill="auto"/>
          </w:tcPr>
          <w:p w14:paraId="6CA855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根据昌州财建</w:t>
            </w:r>
            <w:r>
              <w:rPr>
                <w:rFonts w:hint="eastAsia" w:ascii="宋体" w:hAnsi="宋体" w:cs="宋体"/>
                <w:color w:val="000000"/>
                <w:kern w:val="0"/>
                <w:sz w:val="20"/>
                <w:szCs w:val="20"/>
                <w:lang w:eastAsia="zh-CN"/>
              </w:rPr>
              <w:t>〔2019〕75号</w:t>
            </w:r>
            <w:r>
              <w:rPr>
                <w:rFonts w:hint="eastAsia" w:ascii="宋体" w:hAnsi="宋体" w:cs="宋体"/>
                <w:color w:val="000000"/>
                <w:kern w:val="0"/>
                <w:sz w:val="20"/>
                <w:szCs w:val="20"/>
              </w:rPr>
              <w:t>《关于下达2019年中央财政产粮大县奖励资金及明确产粮大县名单的通知》要求，实施粮食质检体系建设项目，按照上级要求，使用剩余资金采购实验室用净水器、能量色散X荧光光谱仪、文件柜、各类快速定量检测试</w:t>
            </w:r>
            <w:r>
              <w:rPr>
                <w:rFonts w:hint="eastAsia" w:ascii="宋体" w:hAnsi="宋体" w:cs="宋体"/>
                <w:color w:val="000000"/>
                <w:kern w:val="0"/>
                <w:sz w:val="20"/>
                <w:szCs w:val="20"/>
                <w:lang w:eastAsia="zh-CN"/>
              </w:rPr>
              <w:t>纸</w:t>
            </w:r>
            <w:r>
              <w:rPr>
                <w:rFonts w:hint="eastAsia" w:ascii="宋体" w:hAnsi="宋体" w:cs="宋体"/>
                <w:color w:val="000000"/>
                <w:kern w:val="0"/>
                <w:sz w:val="20"/>
                <w:szCs w:val="20"/>
              </w:rPr>
              <w:t>等，切实提高粮食安全保障能力。</w:t>
            </w:r>
          </w:p>
        </w:tc>
        <w:tc>
          <w:tcPr>
            <w:tcW w:w="3386" w:type="dxa"/>
            <w:gridSpan w:val="7"/>
            <w:tcBorders>
              <w:top w:val="single" w:color="auto" w:sz="4" w:space="0"/>
              <w:left w:val="nil"/>
              <w:bottom w:val="single" w:color="auto" w:sz="4" w:space="0"/>
              <w:right w:val="single" w:color="auto" w:sz="4" w:space="0"/>
            </w:tcBorders>
            <w:shd w:val="clear" w:color="auto" w:fill="auto"/>
          </w:tcPr>
          <w:p w14:paraId="10E7C6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截至本项目自评之日，我单位已完成如下工作：已完成能量色散X荧光光谱仪及</w:t>
            </w:r>
            <w:r>
              <w:rPr>
                <w:rFonts w:hint="eastAsia" w:ascii="宋体" w:hAnsi="宋体" w:cs="宋体"/>
                <w:color w:val="000000"/>
                <w:kern w:val="0"/>
                <w:sz w:val="20"/>
                <w:szCs w:val="20"/>
                <w:lang w:eastAsia="zh-CN"/>
              </w:rPr>
              <w:t>快速</w:t>
            </w:r>
            <w:r>
              <w:rPr>
                <w:rFonts w:hint="eastAsia" w:ascii="宋体" w:hAnsi="宋体" w:cs="宋体"/>
                <w:color w:val="000000"/>
                <w:kern w:val="0"/>
                <w:sz w:val="20"/>
                <w:szCs w:val="20"/>
              </w:rPr>
              <w:t>检测试纸条、实验室用净水器、文件柜的购买，提升了我县粮食质检能力。</w:t>
            </w:r>
          </w:p>
        </w:tc>
      </w:tr>
      <w:tr w14:paraId="2639A3E5">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D865AA6">
            <w:pPr>
              <w:widowControl/>
              <w:jc w:val="center"/>
              <w:rPr>
                <w:rFonts w:hint="eastAsia" w:ascii="宋体" w:hAnsi="宋体" w:eastAsia="宋体" w:cs="宋体"/>
                <w:color w:val="000000"/>
                <w:kern w:val="0"/>
                <w:sz w:val="20"/>
                <w:szCs w:val="20"/>
                <w:lang w:eastAsia="zh-CN"/>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6504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4" w:type="dxa"/>
            <w:vMerge w:val="restart"/>
            <w:tcBorders>
              <w:top w:val="nil"/>
              <w:left w:val="single" w:color="auto" w:sz="4" w:space="0"/>
              <w:bottom w:val="single" w:color="auto" w:sz="4" w:space="0"/>
              <w:right w:val="single" w:color="auto" w:sz="4" w:space="0"/>
            </w:tcBorders>
            <w:shd w:val="clear" w:color="auto" w:fill="auto"/>
            <w:vAlign w:val="center"/>
          </w:tcPr>
          <w:p w14:paraId="01B1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95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9EFE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1" w:type="dxa"/>
            <w:vMerge w:val="restart"/>
            <w:tcBorders>
              <w:top w:val="nil"/>
              <w:left w:val="single" w:color="auto" w:sz="4" w:space="0"/>
              <w:bottom w:val="single" w:color="auto" w:sz="4" w:space="0"/>
              <w:right w:val="single" w:color="auto" w:sz="4" w:space="0"/>
            </w:tcBorders>
            <w:shd w:val="clear" w:color="auto" w:fill="auto"/>
            <w:vAlign w:val="center"/>
          </w:tcPr>
          <w:p w14:paraId="5451C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D84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494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15B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35BFBA">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C515EA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8A94466">
            <w:pPr>
              <w:widowControl/>
              <w:jc w:val="left"/>
              <w:rPr>
                <w:rFonts w:hint="eastAsia" w:ascii="宋体" w:hAnsi="宋体" w:cs="宋体"/>
                <w:color w:val="000000"/>
                <w:kern w:val="0"/>
                <w:sz w:val="20"/>
                <w:szCs w:val="20"/>
              </w:rPr>
            </w:pPr>
          </w:p>
        </w:tc>
        <w:tc>
          <w:tcPr>
            <w:tcW w:w="1394" w:type="dxa"/>
            <w:vMerge w:val="continue"/>
            <w:tcBorders>
              <w:top w:val="nil"/>
              <w:left w:val="single" w:color="auto" w:sz="4" w:space="0"/>
              <w:bottom w:val="single" w:color="auto" w:sz="4" w:space="0"/>
              <w:right w:val="single" w:color="auto" w:sz="4" w:space="0"/>
            </w:tcBorders>
            <w:vAlign w:val="center"/>
          </w:tcPr>
          <w:p w14:paraId="00B1D014">
            <w:pPr>
              <w:widowControl/>
              <w:jc w:val="left"/>
              <w:rPr>
                <w:rFonts w:hint="eastAsia" w:ascii="宋体" w:hAnsi="宋体" w:cs="宋体"/>
                <w:color w:val="000000"/>
                <w:kern w:val="0"/>
                <w:sz w:val="20"/>
                <w:szCs w:val="20"/>
              </w:rPr>
            </w:pPr>
          </w:p>
        </w:tc>
        <w:tc>
          <w:tcPr>
            <w:tcW w:w="1652" w:type="dxa"/>
            <w:gridSpan w:val="3"/>
            <w:vMerge w:val="continue"/>
            <w:tcBorders>
              <w:top w:val="single" w:color="auto" w:sz="4" w:space="0"/>
              <w:left w:val="single" w:color="auto" w:sz="4" w:space="0"/>
              <w:bottom w:val="single" w:color="auto" w:sz="4" w:space="0"/>
              <w:right w:val="single" w:color="auto" w:sz="4" w:space="0"/>
            </w:tcBorders>
            <w:vAlign w:val="center"/>
          </w:tcPr>
          <w:p w14:paraId="40884CA2">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47F0B3A0">
            <w:pPr>
              <w:widowControl/>
              <w:jc w:val="left"/>
              <w:rPr>
                <w:rFonts w:hint="eastAsia" w:ascii="宋体" w:hAnsi="宋体" w:cs="宋体"/>
                <w:color w:val="000000"/>
                <w:kern w:val="0"/>
                <w:sz w:val="20"/>
                <w:szCs w:val="20"/>
              </w:rPr>
            </w:pPr>
          </w:p>
        </w:tc>
        <w:tc>
          <w:tcPr>
            <w:tcW w:w="781" w:type="dxa"/>
            <w:vMerge w:val="continue"/>
            <w:tcBorders>
              <w:top w:val="nil"/>
              <w:left w:val="single" w:color="auto" w:sz="4" w:space="0"/>
              <w:bottom w:val="single" w:color="auto" w:sz="4" w:space="0"/>
              <w:right w:val="single" w:color="auto" w:sz="4" w:space="0"/>
            </w:tcBorders>
            <w:vAlign w:val="center"/>
          </w:tcPr>
          <w:p w14:paraId="7827DF15">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2CA6204A">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7C3193DE">
            <w:pPr>
              <w:widowControl/>
              <w:jc w:val="left"/>
              <w:rPr>
                <w:rFonts w:hint="eastAsia" w:ascii="宋体" w:hAnsi="宋体" w:cs="宋体"/>
                <w:color w:val="000000"/>
                <w:kern w:val="0"/>
                <w:sz w:val="20"/>
                <w:szCs w:val="20"/>
              </w:rPr>
            </w:pPr>
          </w:p>
        </w:tc>
        <w:tc>
          <w:tcPr>
            <w:tcW w:w="1148" w:type="dxa"/>
            <w:gridSpan w:val="2"/>
            <w:vMerge w:val="continue"/>
            <w:tcBorders>
              <w:top w:val="single" w:color="auto" w:sz="4" w:space="0"/>
              <w:left w:val="single" w:color="auto" w:sz="4" w:space="0"/>
              <w:bottom w:val="single" w:color="auto" w:sz="4" w:space="0"/>
              <w:right w:val="single" w:color="auto" w:sz="4" w:space="0"/>
            </w:tcBorders>
            <w:vAlign w:val="center"/>
          </w:tcPr>
          <w:p w14:paraId="15029573">
            <w:pPr>
              <w:widowControl/>
              <w:jc w:val="left"/>
              <w:rPr>
                <w:rFonts w:hint="eastAsia" w:ascii="宋体" w:hAnsi="宋体" w:cs="宋体"/>
                <w:color w:val="000000"/>
                <w:kern w:val="0"/>
                <w:sz w:val="20"/>
                <w:szCs w:val="20"/>
              </w:rPr>
            </w:pPr>
          </w:p>
        </w:tc>
      </w:tr>
      <w:tr w14:paraId="215FC9D3">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8093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50BC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4" w:type="dxa"/>
            <w:tcBorders>
              <w:top w:val="nil"/>
              <w:left w:val="nil"/>
              <w:bottom w:val="single" w:color="auto" w:sz="4" w:space="0"/>
              <w:right w:val="single" w:color="auto" w:sz="4" w:space="0"/>
            </w:tcBorders>
            <w:shd w:val="clear" w:color="auto" w:fill="auto"/>
            <w:vAlign w:val="center"/>
          </w:tcPr>
          <w:p w14:paraId="5FC7E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1202EC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采购专用设备</w:t>
            </w:r>
          </w:p>
        </w:tc>
        <w:tc>
          <w:tcPr>
            <w:tcW w:w="886" w:type="dxa"/>
            <w:tcBorders>
              <w:top w:val="nil"/>
              <w:left w:val="nil"/>
              <w:bottom w:val="single" w:color="auto" w:sz="4" w:space="0"/>
              <w:right w:val="single" w:color="auto" w:sz="4" w:space="0"/>
            </w:tcBorders>
            <w:shd w:val="clear" w:color="auto" w:fill="auto"/>
            <w:vAlign w:val="center"/>
          </w:tcPr>
          <w:p w14:paraId="152DE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&gt;=2台</w:t>
            </w:r>
          </w:p>
        </w:tc>
        <w:tc>
          <w:tcPr>
            <w:tcW w:w="781" w:type="dxa"/>
            <w:tcBorders>
              <w:top w:val="nil"/>
              <w:left w:val="nil"/>
              <w:bottom w:val="single" w:color="auto" w:sz="4" w:space="0"/>
              <w:right w:val="single" w:color="auto" w:sz="4" w:space="0"/>
            </w:tcBorders>
            <w:shd w:val="clear" w:color="auto" w:fill="auto"/>
            <w:vAlign w:val="center"/>
          </w:tcPr>
          <w:p w14:paraId="1CA33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=2台</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D021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5678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3EBC2AEB">
            <w:pPr>
              <w:widowControl/>
              <w:jc w:val="center"/>
              <w:rPr>
                <w:rFonts w:hint="eastAsia" w:ascii="宋体" w:hAnsi="宋体" w:cs="宋体"/>
                <w:color w:val="000000"/>
                <w:kern w:val="0"/>
                <w:sz w:val="20"/>
                <w:szCs w:val="20"/>
              </w:rPr>
            </w:pPr>
          </w:p>
        </w:tc>
      </w:tr>
      <w:tr w14:paraId="085D883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2CE6EC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47DB5CA">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15B40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36B277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采购试纸</w:t>
            </w:r>
          </w:p>
        </w:tc>
        <w:tc>
          <w:tcPr>
            <w:tcW w:w="886" w:type="dxa"/>
            <w:tcBorders>
              <w:top w:val="nil"/>
              <w:left w:val="nil"/>
              <w:bottom w:val="single" w:color="auto" w:sz="4" w:space="0"/>
              <w:right w:val="single" w:color="auto" w:sz="4" w:space="0"/>
            </w:tcBorders>
            <w:shd w:val="clear" w:color="auto" w:fill="auto"/>
            <w:vAlign w:val="center"/>
          </w:tcPr>
          <w:p w14:paraId="77914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&gt;=176盒</w:t>
            </w:r>
          </w:p>
        </w:tc>
        <w:tc>
          <w:tcPr>
            <w:tcW w:w="781" w:type="dxa"/>
            <w:tcBorders>
              <w:top w:val="nil"/>
              <w:left w:val="nil"/>
              <w:bottom w:val="single" w:color="auto" w:sz="4" w:space="0"/>
              <w:right w:val="single" w:color="auto" w:sz="4" w:space="0"/>
            </w:tcBorders>
            <w:shd w:val="clear" w:color="auto" w:fill="auto"/>
            <w:vAlign w:val="center"/>
          </w:tcPr>
          <w:p w14:paraId="1AE67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=176盒</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7148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A0A3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444E3D66">
            <w:pPr>
              <w:widowControl/>
              <w:jc w:val="center"/>
              <w:rPr>
                <w:rFonts w:hint="eastAsia" w:ascii="宋体" w:hAnsi="宋体" w:cs="宋体"/>
                <w:color w:val="000000"/>
                <w:kern w:val="0"/>
                <w:sz w:val="20"/>
                <w:szCs w:val="20"/>
              </w:rPr>
            </w:pPr>
          </w:p>
        </w:tc>
      </w:tr>
      <w:tr w14:paraId="4B6E926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3EF00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8B4524">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3DE82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0F4F95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886" w:type="dxa"/>
            <w:tcBorders>
              <w:top w:val="nil"/>
              <w:left w:val="nil"/>
              <w:bottom w:val="single" w:color="auto" w:sz="4" w:space="0"/>
              <w:right w:val="single" w:color="auto" w:sz="4" w:space="0"/>
            </w:tcBorders>
            <w:shd w:val="clear" w:color="auto" w:fill="auto"/>
            <w:vAlign w:val="center"/>
          </w:tcPr>
          <w:p w14:paraId="7B2AB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1" w:type="dxa"/>
            <w:tcBorders>
              <w:top w:val="nil"/>
              <w:left w:val="nil"/>
              <w:bottom w:val="single" w:color="auto" w:sz="4" w:space="0"/>
              <w:right w:val="single" w:color="auto" w:sz="4" w:space="0"/>
            </w:tcBorders>
            <w:shd w:val="clear" w:color="auto" w:fill="auto"/>
            <w:vAlign w:val="center"/>
          </w:tcPr>
          <w:p w14:paraId="312FF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86EB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B191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3CBD2B5A">
            <w:pPr>
              <w:widowControl/>
              <w:jc w:val="center"/>
              <w:rPr>
                <w:rFonts w:hint="eastAsia" w:ascii="宋体" w:hAnsi="宋体" w:cs="宋体"/>
                <w:color w:val="000000"/>
                <w:kern w:val="0"/>
                <w:sz w:val="20"/>
                <w:szCs w:val="20"/>
              </w:rPr>
            </w:pPr>
          </w:p>
        </w:tc>
      </w:tr>
      <w:tr w14:paraId="24913B2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BF41FA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F6F7BDA">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42EF0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679BD4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设备采购及时率</w:t>
            </w:r>
          </w:p>
        </w:tc>
        <w:tc>
          <w:tcPr>
            <w:tcW w:w="886" w:type="dxa"/>
            <w:tcBorders>
              <w:top w:val="nil"/>
              <w:left w:val="nil"/>
              <w:bottom w:val="single" w:color="auto" w:sz="4" w:space="0"/>
              <w:right w:val="single" w:color="auto" w:sz="4" w:space="0"/>
            </w:tcBorders>
            <w:shd w:val="clear" w:color="auto" w:fill="auto"/>
            <w:vAlign w:val="center"/>
          </w:tcPr>
          <w:p w14:paraId="603EA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1" w:type="dxa"/>
            <w:tcBorders>
              <w:top w:val="nil"/>
              <w:left w:val="nil"/>
              <w:bottom w:val="single" w:color="auto" w:sz="4" w:space="0"/>
              <w:right w:val="single" w:color="auto" w:sz="4" w:space="0"/>
            </w:tcBorders>
            <w:shd w:val="clear" w:color="auto" w:fill="auto"/>
            <w:vAlign w:val="center"/>
          </w:tcPr>
          <w:p w14:paraId="5FF21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5E71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E6E9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245E19B8">
            <w:pPr>
              <w:widowControl/>
              <w:jc w:val="center"/>
              <w:rPr>
                <w:rFonts w:hint="eastAsia" w:ascii="宋体" w:hAnsi="宋体" w:cs="宋体"/>
                <w:color w:val="000000"/>
                <w:kern w:val="0"/>
                <w:sz w:val="20"/>
                <w:szCs w:val="20"/>
              </w:rPr>
            </w:pPr>
          </w:p>
        </w:tc>
      </w:tr>
      <w:tr w14:paraId="67000A5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2962E3D">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678B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4" w:type="dxa"/>
            <w:tcBorders>
              <w:top w:val="nil"/>
              <w:left w:val="nil"/>
              <w:bottom w:val="single" w:color="auto" w:sz="4" w:space="0"/>
              <w:right w:val="single" w:color="auto" w:sz="4" w:space="0"/>
            </w:tcBorders>
            <w:shd w:val="clear" w:color="auto" w:fill="auto"/>
            <w:vAlign w:val="center"/>
          </w:tcPr>
          <w:p w14:paraId="612DC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33BF1F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14:paraId="46251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1" w:type="dxa"/>
            <w:tcBorders>
              <w:top w:val="nil"/>
              <w:left w:val="nil"/>
              <w:bottom w:val="single" w:color="auto" w:sz="4" w:space="0"/>
              <w:right w:val="single" w:color="auto" w:sz="4" w:space="0"/>
            </w:tcBorders>
            <w:shd w:val="clear" w:color="auto" w:fill="auto"/>
            <w:vAlign w:val="center"/>
          </w:tcPr>
          <w:p w14:paraId="1938D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4129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ED7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590F5606">
            <w:pPr>
              <w:widowControl/>
              <w:jc w:val="center"/>
              <w:rPr>
                <w:rFonts w:hint="eastAsia" w:ascii="宋体" w:hAnsi="宋体" w:cs="宋体"/>
                <w:color w:val="000000"/>
                <w:kern w:val="0"/>
                <w:sz w:val="20"/>
                <w:szCs w:val="20"/>
              </w:rPr>
            </w:pPr>
          </w:p>
        </w:tc>
      </w:tr>
      <w:tr w14:paraId="29498E9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9A0BA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BD7077">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6D904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4490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对粮食生</w:t>
            </w:r>
            <w:r>
              <w:rPr>
                <w:rFonts w:hint="eastAsia" w:ascii="宋体" w:hAnsi="宋体" w:cs="宋体"/>
                <w:color w:val="000000"/>
                <w:kern w:val="0"/>
                <w:sz w:val="20"/>
                <w:szCs w:val="20"/>
                <w:lang w:eastAsia="zh-CN"/>
              </w:rPr>
              <w:t>产的</w:t>
            </w:r>
            <w:r>
              <w:rPr>
                <w:rFonts w:hint="eastAsia" w:ascii="宋体" w:hAnsi="宋体" w:cs="宋体"/>
                <w:color w:val="000000"/>
                <w:kern w:val="0"/>
                <w:sz w:val="20"/>
                <w:szCs w:val="20"/>
              </w:rPr>
              <w:t>影响</w:t>
            </w:r>
          </w:p>
        </w:tc>
        <w:tc>
          <w:tcPr>
            <w:tcW w:w="886" w:type="dxa"/>
            <w:tcBorders>
              <w:top w:val="nil"/>
              <w:left w:val="nil"/>
              <w:bottom w:val="single" w:color="auto" w:sz="4" w:space="0"/>
              <w:right w:val="single" w:color="auto" w:sz="4" w:space="0"/>
            </w:tcBorders>
            <w:shd w:val="clear" w:color="auto" w:fill="auto"/>
            <w:vAlign w:val="center"/>
          </w:tcPr>
          <w:p w14:paraId="0FDDD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1" w:type="dxa"/>
            <w:tcBorders>
              <w:top w:val="nil"/>
              <w:left w:val="nil"/>
              <w:bottom w:val="single" w:color="auto" w:sz="4" w:space="0"/>
              <w:right w:val="single" w:color="auto" w:sz="4" w:space="0"/>
            </w:tcBorders>
            <w:shd w:val="clear" w:color="auto" w:fill="auto"/>
            <w:vAlign w:val="center"/>
          </w:tcPr>
          <w:p w14:paraId="4D69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6EA6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AAD6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695E6866">
            <w:pPr>
              <w:widowControl/>
              <w:jc w:val="center"/>
              <w:rPr>
                <w:rFonts w:hint="eastAsia" w:ascii="宋体" w:hAnsi="宋体" w:cs="宋体"/>
                <w:color w:val="000000"/>
                <w:kern w:val="0"/>
                <w:sz w:val="20"/>
                <w:szCs w:val="20"/>
              </w:rPr>
            </w:pPr>
          </w:p>
        </w:tc>
      </w:tr>
      <w:tr w14:paraId="0575F2A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0B78796">
            <w:pPr>
              <w:widowControl/>
              <w:jc w:val="left"/>
              <w:rPr>
                <w:rFonts w:hint="eastAsia" w:ascii="宋体" w:hAnsi="宋体" w:cs="宋体"/>
                <w:color w:val="000000"/>
                <w:kern w:val="0"/>
                <w:sz w:val="20"/>
                <w:szCs w:val="20"/>
              </w:rPr>
            </w:pPr>
          </w:p>
        </w:tc>
        <w:tc>
          <w:tcPr>
            <w:tcW w:w="491" w:type="dxa"/>
            <w:tcBorders>
              <w:top w:val="nil"/>
              <w:left w:val="single" w:color="auto" w:sz="4" w:space="0"/>
              <w:bottom w:val="single" w:color="auto" w:sz="4" w:space="0"/>
              <w:right w:val="single" w:color="auto" w:sz="4" w:space="0"/>
            </w:tcBorders>
            <w:shd w:val="clear" w:color="auto" w:fill="auto"/>
            <w:vAlign w:val="center"/>
          </w:tcPr>
          <w:p w14:paraId="2BD96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4" w:type="dxa"/>
            <w:tcBorders>
              <w:top w:val="nil"/>
              <w:left w:val="nil"/>
              <w:bottom w:val="single" w:color="auto" w:sz="4" w:space="0"/>
              <w:right w:val="single" w:color="auto" w:sz="4" w:space="0"/>
            </w:tcBorders>
            <w:shd w:val="clear" w:color="auto" w:fill="auto"/>
            <w:vAlign w:val="center"/>
          </w:tcPr>
          <w:p w14:paraId="4F9AD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01FCE9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886" w:type="dxa"/>
            <w:tcBorders>
              <w:top w:val="nil"/>
              <w:left w:val="nil"/>
              <w:bottom w:val="single" w:color="auto" w:sz="4" w:space="0"/>
              <w:right w:val="single" w:color="auto" w:sz="4" w:space="0"/>
            </w:tcBorders>
            <w:shd w:val="clear" w:color="auto" w:fill="auto"/>
            <w:vAlign w:val="center"/>
          </w:tcPr>
          <w:p w14:paraId="5EA57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1" w:type="dxa"/>
            <w:tcBorders>
              <w:top w:val="nil"/>
              <w:left w:val="nil"/>
              <w:bottom w:val="single" w:color="auto" w:sz="4" w:space="0"/>
              <w:right w:val="single" w:color="auto" w:sz="4" w:space="0"/>
            </w:tcBorders>
            <w:shd w:val="clear" w:color="auto" w:fill="auto"/>
            <w:vAlign w:val="center"/>
          </w:tcPr>
          <w:p w14:paraId="0D9CE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7107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CB4C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2D6ACB21">
            <w:pPr>
              <w:widowControl/>
              <w:jc w:val="center"/>
              <w:rPr>
                <w:rFonts w:hint="eastAsia" w:ascii="宋体" w:hAnsi="宋体" w:cs="宋体"/>
                <w:color w:val="000000"/>
                <w:kern w:val="0"/>
                <w:sz w:val="20"/>
                <w:szCs w:val="20"/>
              </w:rPr>
            </w:pPr>
          </w:p>
        </w:tc>
      </w:tr>
      <w:tr w14:paraId="6D0A0C5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71C9E57">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FF35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4" w:type="dxa"/>
            <w:tcBorders>
              <w:top w:val="nil"/>
              <w:left w:val="nil"/>
              <w:bottom w:val="single" w:color="auto" w:sz="4" w:space="0"/>
              <w:right w:val="single" w:color="auto" w:sz="4" w:space="0"/>
            </w:tcBorders>
            <w:shd w:val="clear" w:color="auto" w:fill="auto"/>
            <w:vAlign w:val="center"/>
          </w:tcPr>
          <w:p w14:paraId="45637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137613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33D20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1" w:type="dxa"/>
            <w:tcBorders>
              <w:top w:val="nil"/>
              <w:left w:val="nil"/>
              <w:bottom w:val="single" w:color="auto" w:sz="4" w:space="0"/>
              <w:right w:val="single" w:color="auto" w:sz="4" w:space="0"/>
            </w:tcBorders>
            <w:shd w:val="clear" w:color="auto" w:fill="auto"/>
            <w:vAlign w:val="center"/>
          </w:tcPr>
          <w:p w14:paraId="1CBA1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A1C7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513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1FC3FEB0">
            <w:pPr>
              <w:widowControl/>
              <w:jc w:val="center"/>
              <w:rPr>
                <w:rFonts w:hint="eastAsia" w:ascii="宋体" w:hAnsi="宋体" w:cs="宋体"/>
                <w:color w:val="000000"/>
                <w:kern w:val="0"/>
                <w:sz w:val="20"/>
                <w:szCs w:val="20"/>
              </w:rPr>
            </w:pPr>
          </w:p>
        </w:tc>
      </w:tr>
      <w:tr w14:paraId="5B5CDAF4">
        <w:tblPrEx>
          <w:tblCellMar>
            <w:top w:w="0" w:type="dxa"/>
            <w:left w:w="108" w:type="dxa"/>
            <w:bottom w:w="0" w:type="dxa"/>
            <w:right w:w="108" w:type="dxa"/>
          </w:tblCellMar>
        </w:tblPrEx>
        <w:trPr>
          <w:trHeight w:val="288" w:hRule="atLeast"/>
          <w:jc w:val="center"/>
        </w:trPr>
        <w:tc>
          <w:tcPr>
            <w:tcW w:w="56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5884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727A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7608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2E6EDC46">
            <w:pPr>
              <w:widowControl/>
              <w:jc w:val="center"/>
              <w:rPr>
                <w:rFonts w:hint="eastAsia" w:ascii="宋体" w:hAnsi="宋体" w:cs="宋体"/>
                <w:color w:val="000000"/>
                <w:kern w:val="0"/>
                <w:sz w:val="20"/>
                <w:szCs w:val="20"/>
              </w:rPr>
            </w:pPr>
          </w:p>
        </w:tc>
      </w:tr>
    </w:tbl>
    <w:p w14:paraId="14489D15">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3"/>
        <w:gridCol w:w="432"/>
        <w:gridCol w:w="1369"/>
        <w:gridCol w:w="363"/>
        <w:gridCol w:w="1129"/>
        <w:gridCol w:w="557"/>
        <w:gridCol w:w="831"/>
        <w:gridCol w:w="806"/>
        <w:gridCol w:w="184"/>
        <w:gridCol w:w="360"/>
        <w:gridCol w:w="188"/>
        <w:gridCol w:w="551"/>
        <w:gridCol w:w="373"/>
        <w:gridCol w:w="723"/>
      </w:tblGrid>
      <w:tr w14:paraId="77568792">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BEEB5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0784711">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D9BE3A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5321F9F">
        <w:tblPrEx>
          <w:tblCellMar>
            <w:top w:w="0" w:type="dxa"/>
            <w:left w:w="108" w:type="dxa"/>
            <w:bottom w:w="0" w:type="dxa"/>
            <w:right w:w="108" w:type="dxa"/>
          </w:tblCellMar>
        </w:tblPrEx>
        <w:trPr>
          <w:trHeight w:val="288"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4B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35" w:type="dxa"/>
            <w:gridSpan w:val="12"/>
            <w:tcBorders>
              <w:top w:val="single" w:color="auto" w:sz="4" w:space="0"/>
              <w:left w:val="nil"/>
              <w:bottom w:val="single" w:color="auto" w:sz="4" w:space="0"/>
              <w:right w:val="single" w:color="auto" w:sz="4" w:space="0"/>
            </w:tcBorders>
            <w:shd w:val="clear" w:color="auto" w:fill="auto"/>
            <w:vAlign w:val="center"/>
          </w:tcPr>
          <w:p w14:paraId="4E9B4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2023年关于安排发改委项目前期费</w:t>
            </w:r>
          </w:p>
        </w:tc>
      </w:tr>
      <w:tr w14:paraId="251C2497">
        <w:tblPrEx>
          <w:tblCellMar>
            <w:top w:w="0" w:type="dxa"/>
            <w:left w:w="108" w:type="dxa"/>
            <w:bottom w:w="0" w:type="dxa"/>
            <w:right w:w="108" w:type="dxa"/>
          </w:tblCellMar>
        </w:tblPrEx>
        <w:trPr>
          <w:trHeight w:val="288"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F3F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0" w:type="dxa"/>
            <w:gridSpan w:val="5"/>
            <w:tcBorders>
              <w:top w:val="single" w:color="auto" w:sz="4" w:space="0"/>
              <w:left w:val="nil"/>
              <w:bottom w:val="single" w:color="auto" w:sz="4" w:space="0"/>
              <w:right w:val="single" w:color="auto" w:sz="4" w:space="0"/>
            </w:tcBorders>
            <w:shd w:val="clear" w:color="auto" w:fill="auto"/>
            <w:vAlign w:val="center"/>
          </w:tcPr>
          <w:p w14:paraId="507BC8F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37D8B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95" w:type="dxa"/>
            <w:gridSpan w:val="5"/>
            <w:tcBorders>
              <w:top w:val="single" w:color="auto" w:sz="4" w:space="0"/>
              <w:left w:val="nil"/>
              <w:bottom w:val="single" w:color="auto" w:sz="4" w:space="0"/>
              <w:right w:val="single" w:color="auto" w:sz="4" w:space="0"/>
            </w:tcBorders>
            <w:shd w:val="clear" w:color="auto" w:fill="auto"/>
            <w:vAlign w:val="center"/>
          </w:tcPr>
          <w:p w14:paraId="0F0DF27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r>
      <w:tr w14:paraId="743E857D">
        <w:tblPrEx>
          <w:tblCellMar>
            <w:top w:w="0" w:type="dxa"/>
            <w:left w:w="108" w:type="dxa"/>
            <w:bottom w:w="0" w:type="dxa"/>
            <w:right w:w="108" w:type="dxa"/>
          </w:tblCellMar>
        </w:tblPrEx>
        <w:trPr>
          <w:trHeight w:val="480" w:hRule="atLeast"/>
          <w:jc w:val="center"/>
        </w:trPr>
        <w:tc>
          <w:tcPr>
            <w:tcW w:w="8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46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7B16366B">
            <w:pPr>
              <w:widowControl/>
              <w:jc w:val="center"/>
              <w:rPr>
                <w:rFonts w:hint="eastAsia" w:ascii="宋体" w:hAnsi="宋体" w:cs="宋体"/>
                <w:color w:val="000000"/>
                <w:kern w:val="0"/>
                <w:sz w:val="20"/>
                <w:szCs w:val="20"/>
              </w:rPr>
            </w:pPr>
          </w:p>
        </w:tc>
        <w:tc>
          <w:tcPr>
            <w:tcW w:w="1129" w:type="dxa"/>
            <w:tcBorders>
              <w:top w:val="nil"/>
              <w:left w:val="nil"/>
              <w:bottom w:val="single" w:color="auto" w:sz="4" w:space="0"/>
              <w:right w:val="single" w:color="auto" w:sz="4" w:space="0"/>
            </w:tcBorders>
            <w:shd w:val="clear" w:color="auto" w:fill="auto"/>
            <w:vAlign w:val="center"/>
          </w:tcPr>
          <w:p w14:paraId="1E32A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14:paraId="1790F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305E4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2BB80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4F0CA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3" w:type="dxa"/>
            <w:tcBorders>
              <w:top w:val="nil"/>
              <w:left w:val="nil"/>
              <w:bottom w:val="single" w:color="auto" w:sz="4" w:space="0"/>
              <w:right w:val="single" w:color="auto" w:sz="4" w:space="0"/>
            </w:tcBorders>
            <w:shd w:val="clear" w:color="auto" w:fill="auto"/>
            <w:vAlign w:val="center"/>
          </w:tcPr>
          <w:p w14:paraId="33C0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0CB8F1">
        <w:tblPrEx>
          <w:tblCellMar>
            <w:top w:w="0" w:type="dxa"/>
            <w:left w:w="108" w:type="dxa"/>
            <w:bottom w:w="0" w:type="dxa"/>
            <w:right w:w="108" w:type="dxa"/>
          </w:tblCellMar>
        </w:tblPrEx>
        <w:trPr>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14:paraId="1D940AF7">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53757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29" w:type="dxa"/>
            <w:tcBorders>
              <w:top w:val="nil"/>
              <w:left w:val="nil"/>
              <w:bottom w:val="single" w:color="auto" w:sz="4" w:space="0"/>
              <w:right w:val="single" w:color="auto" w:sz="4" w:space="0"/>
            </w:tcBorders>
            <w:shd w:val="clear" w:color="auto" w:fill="auto"/>
            <w:vAlign w:val="center"/>
          </w:tcPr>
          <w:p w14:paraId="5C7B2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500.00</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14:paraId="7B0AA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62DF9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363C0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37BC5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3" w:type="dxa"/>
            <w:tcBorders>
              <w:top w:val="nil"/>
              <w:left w:val="nil"/>
              <w:bottom w:val="single" w:color="auto" w:sz="4" w:space="0"/>
              <w:right w:val="single" w:color="auto" w:sz="4" w:space="0"/>
            </w:tcBorders>
            <w:shd w:val="clear" w:color="auto" w:fill="auto"/>
            <w:vAlign w:val="center"/>
          </w:tcPr>
          <w:p w14:paraId="4EC26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F9A336">
        <w:tblPrEx>
          <w:tblCellMar>
            <w:top w:w="0" w:type="dxa"/>
            <w:left w:w="108" w:type="dxa"/>
            <w:bottom w:w="0" w:type="dxa"/>
            <w:right w:w="108" w:type="dxa"/>
          </w:tblCellMar>
        </w:tblPrEx>
        <w:trPr>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14:paraId="0D1FB76B">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14CC2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29" w:type="dxa"/>
            <w:tcBorders>
              <w:top w:val="nil"/>
              <w:left w:val="nil"/>
              <w:bottom w:val="single" w:color="auto" w:sz="4" w:space="0"/>
              <w:right w:val="single" w:color="auto" w:sz="4" w:space="0"/>
            </w:tcBorders>
            <w:shd w:val="clear" w:color="auto" w:fill="auto"/>
            <w:vAlign w:val="center"/>
          </w:tcPr>
          <w:p w14:paraId="7782D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500.00</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14:paraId="71DA2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5930A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3A40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61763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14:paraId="0F3A4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520CC4">
        <w:tblPrEx>
          <w:tblCellMar>
            <w:top w:w="0" w:type="dxa"/>
            <w:left w:w="108" w:type="dxa"/>
            <w:bottom w:w="0" w:type="dxa"/>
            <w:right w:w="108" w:type="dxa"/>
          </w:tblCellMar>
        </w:tblPrEx>
        <w:trPr>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14:paraId="65F737BD">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58224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29" w:type="dxa"/>
            <w:tcBorders>
              <w:top w:val="nil"/>
              <w:left w:val="nil"/>
              <w:bottom w:val="single" w:color="auto" w:sz="4" w:space="0"/>
              <w:right w:val="single" w:color="auto" w:sz="4" w:space="0"/>
            </w:tcBorders>
            <w:shd w:val="clear" w:color="auto" w:fill="auto"/>
          </w:tcPr>
          <w:p w14:paraId="36291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8" w:type="dxa"/>
            <w:gridSpan w:val="2"/>
            <w:tcBorders>
              <w:top w:val="single" w:color="auto" w:sz="4" w:space="0"/>
              <w:left w:val="nil"/>
              <w:bottom w:val="single" w:color="auto" w:sz="4" w:space="0"/>
              <w:right w:val="single" w:color="auto" w:sz="4" w:space="0"/>
            </w:tcBorders>
            <w:shd w:val="clear" w:color="auto" w:fill="auto"/>
          </w:tcPr>
          <w:p w14:paraId="60DB5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0" w:type="dxa"/>
            <w:gridSpan w:val="2"/>
            <w:tcBorders>
              <w:top w:val="single" w:color="auto" w:sz="4" w:space="0"/>
              <w:left w:val="nil"/>
              <w:bottom w:val="single" w:color="auto" w:sz="4" w:space="0"/>
              <w:right w:val="single" w:color="auto" w:sz="4" w:space="0"/>
            </w:tcBorders>
            <w:shd w:val="clear" w:color="auto" w:fill="auto"/>
          </w:tcPr>
          <w:p w14:paraId="59AF0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2AE5A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47272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14:paraId="44B06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EB9076">
        <w:tblPrEx>
          <w:tblCellMar>
            <w:top w:w="0" w:type="dxa"/>
            <w:left w:w="108" w:type="dxa"/>
            <w:bottom w:w="0" w:type="dxa"/>
            <w:right w:w="108" w:type="dxa"/>
          </w:tblCellMar>
        </w:tblPrEx>
        <w:trPr>
          <w:trHeight w:val="288"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14:paraId="6CC07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2" w:type="dxa"/>
            <w:gridSpan w:val="6"/>
            <w:tcBorders>
              <w:top w:val="single" w:color="auto" w:sz="4" w:space="0"/>
              <w:left w:val="nil"/>
              <w:bottom w:val="single" w:color="auto" w:sz="4" w:space="0"/>
              <w:right w:val="single" w:color="auto" w:sz="4" w:space="0"/>
            </w:tcBorders>
            <w:shd w:val="clear" w:color="auto" w:fill="auto"/>
            <w:vAlign w:val="center"/>
          </w:tcPr>
          <w:p w14:paraId="2FCC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5" w:type="dxa"/>
            <w:gridSpan w:val="7"/>
            <w:tcBorders>
              <w:top w:val="single" w:color="auto" w:sz="4" w:space="0"/>
              <w:left w:val="nil"/>
              <w:bottom w:val="single" w:color="auto" w:sz="4" w:space="0"/>
              <w:right w:val="single" w:color="auto" w:sz="4" w:space="0"/>
            </w:tcBorders>
            <w:shd w:val="clear" w:color="auto" w:fill="auto"/>
            <w:vAlign w:val="center"/>
          </w:tcPr>
          <w:p w14:paraId="6196D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B7DAF2">
        <w:tblPrEx>
          <w:tblCellMar>
            <w:top w:w="0" w:type="dxa"/>
            <w:left w:w="108" w:type="dxa"/>
            <w:bottom w:w="0" w:type="dxa"/>
            <w:right w:w="108" w:type="dxa"/>
          </w:tblCellMar>
        </w:tblPrEx>
        <w:trPr>
          <w:trHeight w:val="540"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211F6FA">
            <w:pPr>
              <w:widowControl/>
              <w:jc w:val="left"/>
              <w:rPr>
                <w:rFonts w:hint="eastAsia" w:ascii="宋体" w:hAnsi="宋体" w:cs="宋体"/>
                <w:color w:val="000000"/>
                <w:kern w:val="0"/>
                <w:sz w:val="20"/>
                <w:szCs w:val="20"/>
              </w:rPr>
            </w:pPr>
          </w:p>
        </w:tc>
        <w:tc>
          <w:tcPr>
            <w:tcW w:w="4682" w:type="dxa"/>
            <w:gridSpan w:val="6"/>
            <w:tcBorders>
              <w:top w:val="single" w:color="auto" w:sz="4" w:space="0"/>
              <w:left w:val="nil"/>
              <w:bottom w:val="single" w:color="auto" w:sz="4" w:space="0"/>
              <w:right w:val="single" w:color="auto" w:sz="4" w:space="0"/>
            </w:tcBorders>
            <w:shd w:val="clear" w:color="auto" w:fill="auto"/>
          </w:tcPr>
          <w:p w14:paraId="163CB5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本年度部分中央预算内、政府债券类项目及援疆项目的可行性研究报告、初步设计的编制、项目咨询、规划及评审工作；及时与上级部门、企业对接，争取更多项目落地本县；督促项目实施单位加快前期办理、推进项目实施进度，争取早日开工，按期完工。</w:t>
            </w:r>
          </w:p>
        </w:tc>
        <w:tc>
          <w:tcPr>
            <w:tcW w:w="3185" w:type="dxa"/>
            <w:gridSpan w:val="7"/>
            <w:tcBorders>
              <w:top w:val="single" w:color="auto" w:sz="4" w:space="0"/>
              <w:left w:val="nil"/>
              <w:bottom w:val="single" w:color="auto" w:sz="4" w:space="0"/>
              <w:right w:val="single" w:color="auto" w:sz="4" w:space="0"/>
            </w:tcBorders>
            <w:shd w:val="clear" w:color="auto" w:fill="auto"/>
          </w:tcPr>
          <w:p w14:paraId="32024F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至本项目自评之日，我单位已完成如下工作：实施重点项目数量64个，完成本年度部分中央预算内、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w:t>
            </w:r>
          </w:p>
        </w:tc>
      </w:tr>
      <w:tr w14:paraId="7E690E4D">
        <w:tblPrEx>
          <w:tblCellMar>
            <w:top w:w="0" w:type="dxa"/>
            <w:left w:w="108" w:type="dxa"/>
            <w:bottom w:w="0" w:type="dxa"/>
            <w:right w:w="108" w:type="dxa"/>
          </w:tblCellMar>
        </w:tblPrEx>
        <w:trPr>
          <w:trHeight w:val="312"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14:paraId="31573EBF">
            <w:pPr>
              <w:widowControl/>
              <w:jc w:val="center"/>
              <w:rPr>
                <w:rFonts w:hint="eastAsia" w:ascii="宋体" w:hAnsi="宋体" w:cs="宋体"/>
                <w:color w:val="000000"/>
                <w:kern w:val="0"/>
                <w:sz w:val="20"/>
                <w:szCs w:val="20"/>
              </w:rPr>
            </w:pP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7B0EE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0" w:type="dxa"/>
            <w:vMerge w:val="restart"/>
            <w:tcBorders>
              <w:top w:val="nil"/>
              <w:left w:val="single" w:color="auto" w:sz="4" w:space="0"/>
              <w:bottom w:val="single" w:color="auto" w:sz="4" w:space="0"/>
              <w:right w:val="single" w:color="auto" w:sz="4" w:space="0"/>
            </w:tcBorders>
            <w:shd w:val="clear" w:color="auto" w:fill="auto"/>
            <w:vAlign w:val="center"/>
          </w:tcPr>
          <w:p w14:paraId="06D2C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87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1" w:type="dxa"/>
            <w:vMerge w:val="restart"/>
            <w:tcBorders>
              <w:top w:val="nil"/>
              <w:left w:val="single" w:color="auto" w:sz="4" w:space="0"/>
              <w:bottom w:val="single" w:color="auto" w:sz="4" w:space="0"/>
              <w:right w:val="single" w:color="auto" w:sz="4" w:space="0"/>
            </w:tcBorders>
            <w:shd w:val="clear" w:color="auto" w:fill="auto"/>
            <w:vAlign w:val="center"/>
          </w:tcPr>
          <w:p w14:paraId="19B9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09D00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9DD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91A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48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569D79">
        <w:tblPrEx>
          <w:tblCellMar>
            <w:top w:w="0" w:type="dxa"/>
            <w:left w:w="108" w:type="dxa"/>
            <w:bottom w:w="0" w:type="dxa"/>
            <w:right w:w="108" w:type="dxa"/>
          </w:tblCellMar>
        </w:tblPrEx>
        <w:trPr>
          <w:trHeight w:val="312"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1F56A173">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597C8DD2">
            <w:pPr>
              <w:widowControl/>
              <w:jc w:val="left"/>
              <w:rPr>
                <w:rFonts w:hint="eastAsia" w:ascii="宋体" w:hAnsi="宋体" w:cs="宋体"/>
                <w:color w:val="000000"/>
                <w:kern w:val="0"/>
                <w:sz w:val="20"/>
                <w:szCs w:val="20"/>
              </w:rPr>
            </w:pPr>
          </w:p>
        </w:tc>
        <w:tc>
          <w:tcPr>
            <w:tcW w:w="1370" w:type="dxa"/>
            <w:vMerge w:val="continue"/>
            <w:tcBorders>
              <w:top w:val="nil"/>
              <w:left w:val="single" w:color="auto" w:sz="4" w:space="0"/>
              <w:bottom w:val="single" w:color="auto" w:sz="4" w:space="0"/>
              <w:right w:val="single" w:color="auto" w:sz="4" w:space="0"/>
            </w:tcBorders>
            <w:vAlign w:val="center"/>
          </w:tcPr>
          <w:p w14:paraId="1A59915A">
            <w:pPr>
              <w:widowControl/>
              <w:jc w:val="left"/>
              <w:rPr>
                <w:rFonts w:hint="eastAsia" w:ascii="宋体" w:hAnsi="宋体" w:cs="宋体"/>
                <w:color w:val="000000"/>
                <w:kern w:val="0"/>
                <w:sz w:val="20"/>
                <w:szCs w:val="20"/>
              </w:rPr>
            </w:pPr>
          </w:p>
        </w:tc>
        <w:tc>
          <w:tcPr>
            <w:tcW w:w="2049" w:type="dxa"/>
            <w:gridSpan w:val="3"/>
            <w:vMerge w:val="continue"/>
            <w:tcBorders>
              <w:top w:val="single" w:color="auto" w:sz="4" w:space="0"/>
              <w:left w:val="single" w:color="auto" w:sz="4" w:space="0"/>
              <w:bottom w:val="single" w:color="auto" w:sz="4" w:space="0"/>
              <w:right w:val="single" w:color="auto" w:sz="4" w:space="0"/>
            </w:tcBorders>
            <w:vAlign w:val="center"/>
          </w:tcPr>
          <w:p w14:paraId="7929D7EC">
            <w:pPr>
              <w:widowControl/>
              <w:jc w:val="left"/>
              <w:rPr>
                <w:rFonts w:hint="eastAsia" w:ascii="宋体" w:hAnsi="宋体" w:cs="宋体"/>
                <w:color w:val="000000"/>
                <w:kern w:val="0"/>
                <w:sz w:val="20"/>
                <w:szCs w:val="20"/>
              </w:rPr>
            </w:pPr>
          </w:p>
        </w:tc>
        <w:tc>
          <w:tcPr>
            <w:tcW w:w="831" w:type="dxa"/>
            <w:vMerge w:val="continue"/>
            <w:tcBorders>
              <w:top w:val="nil"/>
              <w:left w:val="single" w:color="auto" w:sz="4" w:space="0"/>
              <w:bottom w:val="single" w:color="auto" w:sz="4" w:space="0"/>
              <w:right w:val="single" w:color="auto" w:sz="4" w:space="0"/>
            </w:tcBorders>
            <w:vAlign w:val="center"/>
          </w:tcPr>
          <w:p w14:paraId="554D7BB5">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188FBC14">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14:paraId="5D2EFF44">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6F03AFCA">
            <w:pPr>
              <w:widowControl/>
              <w:jc w:val="left"/>
              <w:rPr>
                <w:rFonts w:hint="eastAsia" w:ascii="宋体" w:hAnsi="宋体" w:cs="宋体"/>
                <w:color w:val="000000"/>
                <w:kern w:val="0"/>
                <w:sz w:val="20"/>
                <w:szCs w:val="20"/>
              </w:rPr>
            </w:pPr>
          </w:p>
        </w:tc>
        <w:tc>
          <w:tcPr>
            <w:tcW w:w="1096" w:type="dxa"/>
            <w:gridSpan w:val="2"/>
            <w:vMerge w:val="continue"/>
            <w:tcBorders>
              <w:top w:val="single" w:color="auto" w:sz="4" w:space="0"/>
              <w:left w:val="single" w:color="auto" w:sz="4" w:space="0"/>
              <w:bottom w:val="single" w:color="auto" w:sz="4" w:space="0"/>
              <w:right w:val="single" w:color="auto" w:sz="4" w:space="0"/>
            </w:tcBorders>
            <w:vAlign w:val="center"/>
          </w:tcPr>
          <w:p w14:paraId="7B7BBB49">
            <w:pPr>
              <w:widowControl/>
              <w:jc w:val="left"/>
              <w:rPr>
                <w:rFonts w:hint="eastAsia" w:ascii="宋体" w:hAnsi="宋体" w:cs="宋体"/>
                <w:color w:val="000000"/>
                <w:kern w:val="0"/>
                <w:sz w:val="20"/>
                <w:szCs w:val="20"/>
              </w:rPr>
            </w:pPr>
          </w:p>
        </w:tc>
      </w:tr>
      <w:tr w14:paraId="3A7BDC83">
        <w:tblPrEx>
          <w:tblCellMar>
            <w:top w:w="0" w:type="dxa"/>
            <w:left w:w="108" w:type="dxa"/>
            <w:bottom w:w="0" w:type="dxa"/>
            <w:right w:w="108" w:type="dxa"/>
          </w:tblCellMar>
        </w:tblPrEx>
        <w:trPr>
          <w:trHeight w:val="399"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14:paraId="02E40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00F1F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0" w:type="dxa"/>
            <w:tcBorders>
              <w:top w:val="nil"/>
              <w:left w:val="nil"/>
              <w:bottom w:val="single" w:color="auto" w:sz="4" w:space="0"/>
              <w:right w:val="single" w:color="auto" w:sz="4" w:space="0"/>
            </w:tcBorders>
            <w:shd w:val="clear" w:color="auto" w:fill="auto"/>
            <w:vAlign w:val="center"/>
          </w:tcPr>
          <w:p w14:paraId="5D21B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72C280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计划实施重点项目数量</w:t>
            </w:r>
          </w:p>
        </w:tc>
        <w:tc>
          <w:tcPr>
            <w:tcW w:w="831" w:type="dxa"/>
            <w:tcBorders>
              <w:top w:val="nil"/>
              <w:left w:val="nil"/>
              <w:bottom w:val="single" w:color="auto" w:sz="4" w:space="0"/>
              <w:right w:val="single" w:color="auto" w:sz="4" w:space="0"/>
            </w:tcBorders>
            <w:shd w:val="clear" w:color="auto" w:fill="auto"/>
            <w:vAlign w:val="center"/>
          </w:tcPr>
          <w:p w14:paraId="2AD6A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&gt;=53个</w:t>
            </w:r>
          </w:p>
        </w:tc>
        <w:tc>
          <w:tcPr>
            <w:tcW w:w="806" w:type="dxa"/>
            <w:tcBorders>
              <w:top w:val="nil"/>
              <w:left w:val="nil"/>
              <w:bottom w:val="single" w:color="auto" w:sz="4" w:space="0"/>
              <w:right w:val="single" w:color="auto" w:sz="4" w:space="0"/>
            </w:tcBorders>
            <w:shd w:val="clear" w:color="auto" w:fill="auto"/>
            <w:vAlign w:val="center"/>
          </w:tcPr>
          <w:p w14:paraId="06D88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=64个</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D0F3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AD04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7.92</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72FF5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我委员积极对接</w:t>
            </w:r>
            <w:r>
              <w:rPr>
                <w:rFonts w:hint="eastAsia" w:ascii="宋体" w:hAnsi="宋体" w:cs="宋体"/>
                <w:color w:val="000000"/>
                <w:kern w:val="0"/>
                <w:sz w:val="20"/>
                <w:szCs w:val="20"/>
                <w:lang w:eastAsia="zh-CN"/>
              </w:rPr>
              <w:t>项目</w:t>
            </w:r>
            <w:r>
              <w:rPr>
                <w:rFonts w:hint="eastAsia" w:ascii="宋体" w:hAnsi="宋体" w:cs="宋体"/>
                <w:color w:val="000000"/>
                <w:kern w:val="0"/>
                <w:sz w:val="20"/>
                <w:szCs w:val="20"/>
              </w:rPr>
              <w:t>落地，项目实施数量增加。</w:t>
            </w:r>
          </w:p>
        </w:tc>
      </w:tr>
      <w:tr w14:paraId="4A50B10D">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3CC75DC3">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4764E951">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05579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0D15C6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项目可行性研究报告评审通过率</w:t>
            </w:r>
          </w:p>
        </w:tc>
        <w:tc>
          <w:tcPr>
            <w:tcW w:w="831" w:type="dxa"/>
            <w:tcBorders>
              <w:top w:val="nil"/>
              <w:left w:val="nil"/>
              <w:bottom w:val="single" w:color="auto" w:sz="4" w:space="0"/>
              <w:right w:val="single" w:color="auto" w:sz="4" w:space="0"/>
            </w:tcBorders>
            <w:shd w:val="clear" w:color="auto" w:fill="auto"/>
            <w:vAlign w:val="center"/>
          </w:tcPr>
          <w:p w14:paraId="17707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6" w:type="dxa"/>
            <w:tcBorders>
              <w:top w:val="nil"/>
              <w:left w:val="nil"/>
              <w:bottom w:val="single" w:color="auto" w:sz="4" w:space="0"/>
              <w:right w:val="single" w:color="auto" w:sz="4" w:space="0"/>
            </w:tcBorders>
            <w:shd w:val="clear" w:color="auto" w:fill="auto"/>
            <w:vAlign w:val="center"/>
          </w:tcPr>
          <w:p w14:paraId="5127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E06A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1507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6725D4C2">
            <w:pPr>
              <w:widowControl/>
              <w:jc w:val="center"/>
              <w:rPr>
                <w:rFonts w:hint="eastAsia" w:ascii="宋体" w:hAnsi="宋体" w:cs="宋体"/>
                <w:color w:val="000000"/>
                <w:kern w:val="0"/>
                <w:sz w:val="20"/>
                <w:szCs w:val="20"/>
              </w:rPr>
            </w:pPr>
          </w:p>
        </w:tc>
      </w:tr>
      <w:tr w14:paraId="26D19CF7">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14A52687">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1EC3C49D">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575A7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45A16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项目可行性研究报告批复率</w:t>
            </w:r>
          </w:p>
        </w:tc>
        <w:tc>
          <w:tcPr>
            <w:tcW w:w="831" w:type="dxa"/>
            <w:tcBorders>
              <w:top w:val="nil"/>
              <w:left w:val="nil"/>
              <w:bottom w:val="single" w:color="auto" w:sz="4" w:space="0"/>
              <w:right w:val="single" w:color="auto" w:sz="4" w:space="0"/>
            </w:tcBorders>
            <w:shd w:val="clear" w:color="auto" w:fill="auto"/>
            <w:vAlign w:val="center"/>
          </w:tcPr>
          <w:p w14:paraId="5D18A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6" w:type="dxa"/>
            <w:tcBorders>
              <w:top w:val="nil"/>
              <w:left w:val="nil"/>
              <w:bottom w:val="single" w:color="auto" w:sz="4" w:space="0"/>
              <w:right w:val="single" w:color="auto" w:sz="4" w:space="0"/>
            </w:tcBorders>
            <w:shd w:val="clear" w:color="auto" w:fill="auto"/>
            <w:vAlign w:val="center"/>
          </w:tcPr>
          <w:p w14:paraId="15F59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98D6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FF69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0148A304">
            <w:pPr>
              <w:widowControl/>
              <w:jc w:val="center"/>
              <w:rPr>
                <w:rFonts w:hint="eastAsia" w:ascii="宋体" w:hAnsi="宋体" w:cs="宋体"/>
                <w:color w:val="000000"/>
                <w:kern w:val="0"/>
                <w:sz w:val="20"/>
                <w:szCs w:val="20"/>
              </w:rPr>
            </w:pPr>
          </w:p>
        </w:tc>
      </w:tr>
      <w:tr w14:paraId="6712A946">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27F7484">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7EA5BC0C">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372C1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32B6F2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可行性研究报告完成及时</w:t>
            </w:r>
            <w:r>
              <w:rPr>
                <w:rFonts w:hint="eastAsia" w:ascii="宋体" w:hAnsi="宋体" w:cs="宋体"/>
                <w:color w:val="000000"/>
                <w:kern w:val="0"/>
                <w:sz w:val="20"/>
                <w:szCs w:val="20"/>
                <w:lang w:eastAsia="zh-CN"/>
              </w:rPr>
              <w:t>率</w:t>
            </w:r>
          </w:p>
        </w:tc>
        <w:tc>
          <w:tcPr>
            <w:tcW w:w="831" w:type="dxa"/>
            <w:tcBorders>
              <w:top w:val="nil"/>
              <w:left w:val="nil"/>
              <w:bottom w:val="single" w:color="auto" w:sz="4" w:space="0"/>
              <w:right w:val="single" w:color="auto" w:sz="4" w:space="0"/>
            </w:tcBorders>
            <w:shd w:val="clear" w:color="auto" w:fill="auto"/>
            <w:vAlign w:val="center"/>
          </w:tcPr>
          <w:p w14:paraId="2F80F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14:paraId="01721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1212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0A5B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301D478F">
            <w:pPr>
              <w:widowControl/>
              <w:jc w:val="center"/>
              <w:rPr>
                <w:rFonts w:hint="eastAsia" w:ascii="宋体" w:hAnsi="宋体" w:cs="宋体"/>
                <w:color w:val="000000"/>
                <w:kern w:val="0"/>
                <w:sz w:val="20"/>
                <w:szCs w:val="20"/>
              </w:rPr>
            </w:pPr>
          </w:p>
        </w:tc>
      </w:tr>
      <w:tr w14:paraId="2EDE9E21">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1F4CB8E">
            <w:pPr>
              <w:widowControl/>
              <w:jc w:val="left"/>
              <w:rPr>
                <w:rFonts w:hint="eastAsia" w:ascii="宋体" w:hAnsi="宋体" w:cs="宋体"/>
                <w:color w:val="000000"/>
                <w:kern w:val="0"/>
                <w:sz w:val="20"/>
                <w:szCs w:val="20"/>
              </w:rPr>
            </w:pP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3731D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70" w:type="dxa"/>
            <w:tcBorders>
              <w:top w:val="nil"/>
              <w:left w:val="nil"/>
              <w:bottom w:val="single" w:color="auto" w:sz="4" w:space="0"/>
              <w:right w:val="single" w:color="auto" w:sz="4" w:space="0"/>
            </w:tcBorders>
            <w:shd w:val="clear" w:color="auto" w:fill="auto"/>
            <w:vAlign w:val="center"/>
          </w:tcPr>
          <w:p w14:paraId="0E92B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2CB9BA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31" w:type="dxa"/>
            <w:tcBorders>
              <w:top w:val="nil"/>
              <w:left w:val="nil"/>
              <w:bottom w:val="single" w:color="auto" w:sz="4" w:space="0"/>
              <w:right w:val="single" w:color="auto" w:sz="4" w:space="0"/>
            </w:tcBorders>
            <w:shd w:val="clear" w:color="auto" w:fill="auto"/>
            <w:vAlign w:val="center"/>
          </w:tcPr>
          <w:p w14:paraId="6C2D6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6" w:type="dxa"/>
            <w:tcBorders>
              <w:top w:val="nil"/>
              <w:left w:val="nil"/>
              <w:bottom w:val="single" w:color="auto" w:sz="4" w:space="0"/>
              <w:right w:val="single" w:color="auto" w:sz="4" w:space="0"/>
            </w:tcBorders>
            <w:shd w:val="clear" w:color="auto" w:fill="auto"/>
            <w:vAlign w:val="center"/>
          </w:tcPr>
          <w:p w14:paraId="24943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6139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9207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0D60565C">
            <w:pPr>
              <w:widowControl/>
              <w:jc w:val="center"/>
              <w:rPr>
                <w:rFonts w:hint="eastAsia" w:ascii="宋体" w:hAnsi="宋体" w:cs="宋体"/>
                <w:color w:val="000000"/>
                <w:kern w:val="0"/>
                <w:sz w:val="20"/>
                <w:szCs w:val="20"/>
              </w:rPr>
            </w:pPr>
          </w:p>
        </w:tc>
      </w:tr>
      <w:tr w14:paraId="5D428F9F">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2D652ADC">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1D2A0FB8">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71A9B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1717B1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项目烂尾率</w:t>
            </w:r>
          </w:p>
        </w:tc>
        <w:tc>
          <w:tcPr>
            <w:tcW w:w="831" w:type="dxa"/>
            <w:tcBorders>
              <w:top w:val="nil"/>
              <w:left w:val="nil"/>
              <w:bottom w:val="single" w:color="auto" w:sz="4" w:space="0"/>
              <w:right w:val="single" w:color="auto" w:sz="4" w:space="0"/>
            </w:tcBorders>
            <w:shd w:val="clear" w:color="auto" w:fill="auto"/>
            <w:vAlign w:val="center"/>
          </w:tcPr>
          <w:p w14:paraId="03100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6" w:type="dxa"/>
            <w:tcBorders>
              <w:top w:val="nil"/>
              <w:left w:val="nil"/>
              <w:bottom w:val="single" w:color="auto" w:sz="4" w:space="0"/>
              <w:right w:val="single" w:color="auto" w:sz="4" w:space="0"/>
            </w:tcBorders>
            <w:shd w:val="clear" w:color="auto" w:fill="auto"/>
            <w:vAlign w:val="center"/>
          </w:tcPr>
          <w:p w14:paraId="19975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E11C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A384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0BC1CF39">
            <w:pPr>
              <w:widowControl/>
              <w:jc w:val="center"/>
              <w:rPr>
                <w:rFonts w:hint="eastAsia" w:ascii="宋体" w:hAnsi="宋体" w:cs="宋体"/>
                <w:color w:val="000000"/>
                <w:kern w:val="0"/>
                <w:sz w:val="20"/>
                <w:szCs w:val="20"/>
              </w:rPr>
            </w:pPr>
          </w:p>
        </w:tc>
      </w:tr>
      <w:tr w14:paraId="70E4960F">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6F30A558">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38440ED0">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25F92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62467C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当年中央预算内投资项目开工率</w:t>
            </w:r>
          </w:p>
        </w:tc>
        <w:tc>
          <w:tcPr>
            <w:tcW w:w="831" w:type="dxa"/>
            <w:tcBorders>
              <w:top w:val="nil"/>
              <w:left w:val="nil"/>
              <w:bottom w:val="single" w:color="auto" w:sz="4" w:space="0"/>
              <w:right w:val="single" w:color="auto" w:sz="4" w:space="0"/>
            </w:tcBorders>
            <w:shd w:val="clear" w:color="auto" w:fill="auto"/>
            <w:vAlign w:val="center"/>
          </w:tcPr>
          <w:p w14:paraId="45345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14:paraId="03769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816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73AA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3FEC7C50">
            <w:pPr>
              <w:widowControl/>
              <w:jc w:val="center"/>
              <w:rPr>
                <w:rFonts w:hint="eastAsia" w:ascii="宋体" w:hAnsi="宋体" w:cs="宋体"/>
                <w:color w:val="000000"/>
                <w:kern w:val="0"/>
                <w:sz w:val="20"/>
                <w:szCs w:val="20"/>
              </w:rPr>
            </w:pPr>
          </w:p>
        </w:tc>
      </w:tr>
      <w:tr w14:paraId="5DC8FB64">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2DDB4E99">
            <w:pPr>
              <w:widowControl/>
              <w:jc w:val="left"/>
              <w:rPr>
                <w:rFonts w:hint="eastAsia" w:ascii="宋体" w:hAnsi="宋体" w:cs="宋体"/>
                <w:color w:val="000000"/>
                <w:kern w:val="0"/>
                <w:sz w:val="20"/>
                <w:szCs w:val="20"/>
              </w:rPr>
            </w:pPr>
          </w:p>
        </w:tc>
        <w:tc>
          <w:tcPr>
            <w:tcW w:w="432" w:type="dxa"/>
            <w:tcBorders>
              <w:top w:val="nil"/>
              <w:left w:val="nil"/>
              <w:bottom w:val="single" w:color="auto" w:sz="4" w:space="0"/>
              <w:right w:val="single" w:color="auto" w:sz="4" w:space="0"/>
            </w:tcBorders>
            <w:shd w:val="clear" w:color="auto" w:fill="auto"/>
            <w:vAlign w:val="center"/>
          </w:tcPr>
          <w:p w14:paraId="5163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0" w:type="dxa"/>
            <w:tcBorders>
              <w:top w:val="nil"/>
              <w:left w:val="nil"/>
              <w:bottom w:val="single" w:color="auto" w:sz="4" w:space="0"/>
              <w:right w:val="single" w:color="auto" w:sz="4" w:space="0"/>
            </w:tcBorders>
            <w:shd w:val="clear" w:color="auto" w:fill="auto"/>
            <w:vAlign w:val="center"/>
          </w:tcPr>
          <w:p w14:paraId="5F3C2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22D5E9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编制单位满意度</w:t>
            </w:r>
          </w:p>
        </w:tc>
        <w:tc>
          <w:tcPr>
            <w:tcW w:w="831" w:type="dxa"/>
            <w:tcBorders>
              <w:top w:val="nil"/>
              <w:left w:val="nil"/>
              <w:bottom w:val="single" w:color="auto" w:sz="4" w:space="0"/>
              <w:right w:val="single" w:color="auto" w:sz="4" w:space="0"/>
            </w:tcBorders>
            <w:shd w:val="clear" w:color="auto" w:fill="auto"/>
            <w:vAlign w:val="center"/>
          </w:tcPr>
          <w:p w14:paraId="03743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14:paraId="1C26D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9AF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747F7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59C2151A">
            <w:pPr>
              <w:widowControl/>
              <w:jc w:val="center"/>
              <w:rPr>
                <w:rFonts w:hint="eastAsia" w:ascii="宋体" w:hAnsi="宋体" w:cs="宋体"/>
                <w:color w:val="000000"/>
                <w:kern w:val="0"/>
                <w:sz w:val="20"/>
                <w:szCs w:val="20"/>
              </w:rPr>
            </w:pPr>
          </w:p>
        </w:tc>
      </w:tr>
      <w:tr w14:paraId="496E3BC2">
        <w:tblPrEx>
          <w:tblCellMar>
            <w:top w:w="0" w:type="dxa"/>
            <w:left w:w="108" w:type="dxa"/>
            <w:bottom w:w="0" w:type="dxa"/>
            <w:right w:w="108" w:type="dxa"/>
          </w:tblCellMar>
        </w:tblPrEx>
        <w:trPr>
          <w:trHeight w:val="288" w:hRule="atLeast"/>
          <w:jc w:val="center"/>
        </w:trPr>
        <w:tc>
          <w:tcPr>
            <w:tcW w:w="592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2612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3712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62CA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97.92分</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7ACF3385">
            <w:pPr>
              <w:widowControl/>
              <w:jc w:val="center"/>
              <w:rPr>
                <w:rFonts w:hint="eastAsia" w:ascii="宋体" w:hAnsi="宋体" w:cs="宋体"/>
                <w:color w:val="000000"/>
                <w:kern w:val="0"/>
                <w:sz w:val="20"/>
                <w:szCs w:val="20"/>
              </w:rPr>
            </w:pPr>
          </w:p>
        </w:tc>
      </w:tr>
    </w:tbl>
    <w:p w14:paraId="24F76402">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326"/>
        <w:gridCol w:w="246"/>
        <w:gridCol w:w="1460"/>
        <w:gridCol w:w="636"/>
        <w:gridCol w:w="816"/>
        <w:gridCol w:w="716"/>
        <w:gridCol w:w="131"/>
        <w:gridCol w:w="421"/>
        <w:gridCol w:w="57"/>
        <w:gridCol w:w="628"/>
        <w:gridCol w:w="314"/>
        <w:gridCol w:w="716"/>
      </w:tblGrid>
      <w:tr w14:paraId="28CD07CA">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C4751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F8509A0">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CB0A3B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C08C4DF">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CF4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4A8D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2023年农产品成本调查经费</w:t>
            </w:r>
          </w:p>
        </w:tc>
      </w:tr>
      <w:tr w14:paraId="481D4D75">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757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85" w:type="dxa"/>
            <w:gridSpan w:val="5"/>
            <w:tcBorders>
              <w:top w:val="single" w:color="auto" w:sz="4" w:space="0"/>
              <w:left w:val="nil"/>
              <w:bottom w:val="single" w:color="auto" w:sz="4" w:space="0"/>
              <w:right w:val="single" w:color="auto" w:sz="4" w:space="0"/>
            </w:tcBorders>
            <w:shd w:val="clear" w:color="auto" w:fill="auto"/>
            <w:vAlign w:val="center"/>
          </w:tcPr>
          <w:p w14:paraId="518A4AC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163A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tcBorders>
              <w:top w:val="single" w:color="auto" w:sz="4" w:space="0"/>
              <w:left w:val="nil"/>
              <w:bottom w:val="single" w:color="auto" w:sz="4" w:space="0"/>
              <w:right w:val="single" w:color="auto" w:sz="4" w:space="0"/>
            </w:tcBorders>
            <w:shd w:val="clear" w:color="auto" w:fill="auto"/>
            <w:vAlign w:val="center"/>
          </w:tcPr>
          <w:p w14:paraId="26D157A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r>
      <w:tr w14:paraId="31D6B69F">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315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A118195">
            <w:pPr>
              <w:widowControl/>
              <w:jc w:val="center"/>
              <w:rPr>
                <w:rFonts w:hint="eastAsia" w:ascii="宋体" w:hAnsi="宋体" w:cs="宋体"/>
                <w:color w:val="000000"/>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14:paraId="7CA50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62FBB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6E121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46A0C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213C8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A73A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CEBC7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528CF46">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59A47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60" w:type="dxa"/>
            <w:tcBorders>
              <w:top w:val="nil"/>
              <w:left w:val="nil"/>
              <w:bottom w:val="single" w:color="auto" w:sz="4" w:space="0"/>
              <w:right w:val="single" w:color="auto" w:sz="4" w:space="0"/>
            </w:tcBorders>
            <w:shd w:val="clear" w:color="auto" w:fill="auto"/>
            <w:vAlign w:val="center"/>
          </w:tcPr>
          <w:p w14:paraId="168D5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4892D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596B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41E4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7036D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21D8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11D691">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620320A">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C2C8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60" w:type="dxa"/>
            <w:tcBorders>
              <w:top w:val="nil"/>
              <w:left w:val="nil"/>
              <w:bottom w:val="single" w:color="auto" w:sz="4" w:space="0"/>
              <w:right w:val="single" w:color="auto" w:sz="4" w:space="0"/>
            </w:tcBorders>
            <w:shd w:val="clear" w:color="auto" w:fill="auto"/>
            <w:vAlign w:val="center"/>
          </w:tcPr>
          <w:p w14:paraId="42FEA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3E729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E588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35A4A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098C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FB87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30E403">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16130F2">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189F9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460" w:type="dxa"/>
            <w:tcBorders>
              <w:top w:val="nil"/>
              <w:left w:val="nil"/>
              <w:bottom w:val="single" w:color="auto" w:sz="4" w:space="0"/>
              <w:right w:val="single" w:color="auto" w:sz="4" w:space="0"/>
            </w:tcBorders>
            <w:shd w:val="clear" w:color="auto" w:fill="auto"/>
          </w:tcPr>
          <w:p w14:paraId="3E6C7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2" w:type="dxa"/>
            <w:gridSpan w:val="2"/>
            <w:tcBorders>
              <w:top w:val="single" w:color="auto" w:sz="4" w:space="0"/>
              <w:left w:val="nil"/>
              <w:bottom w:val="single" w:color="auto" w:sz="4" w:space="0"/>
              <w:right w:val="single" w:color="auto" w:sz="4" w:space="0"/>
            </w:tcBorders>
            <w:shd w:val="clear" w:color="auto" w:fill="auto"/>
          </w:tcPr>
          <w:p w14:paraId="62CA9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7" w:type="dxa"/>
            <w:gridSpan w:val="2"/>
            <w:tcBorders>
              <w:top w:val="single" w:color="auto" w:sz="4" w:space="0"/>
              <w:left w:val="nil"/>
              <w:bottom w:val="single" w:color="auto" w:sz="4" w:space="0"/>
              <w:right w:val="single" w:color="auto" w:sz="4" w:space="0"/>
            </w:tcBorders>
            <w:shd w:val="clear" w:color="auto" w:fill="auto"/>
          </w:tcPr>
          <w:p w14:paraId="1202E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13D13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5BA3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9F41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045930">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5A82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01" w:type="dxa"/>
            <w:gridSpan w:val="6"/>
            <w:tcBorders>
              <w:top w:val="single" w:color="auto" w:sz="4" w:space="0"/>
              <w:left w:val="nil"/>
              <w:bottom w:val="single" w:color="auto" w:sz="4" w:space="0"/>
              <w:right w:val="single" w:color="auto" w:sz="4" w:space="0"/>
            </w:tcBorders>
            <w:shd w:val="clear" w:color="auto" w:fill="auto"/>
            <w:vAlign w:val="center"/>
          </w:tcPr>
          <w:p w14:paraId="5F65A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83" w:type="dxa"/>
            <w:gridSpan w:val="7"/>
            <w:tcBorders>
              <w:top w:val="single" w:color="auto" w:sz="4" w:space="0"/>
              <w:left w:val="nil"/>
              <w:bottom w:val="single" w:color="auto" w:sz="4" w:space="0"/>
              <w:right w:val="single" w:color="auto" w:sz="4" w:space="0"/>
            </w:tcBorders>
            <w:shd w:val="clear" w:color="auto" w:fill="auto"/>
            <w:vAlign w:val="center"/>
          </w:tcPr>
          <w:p w14:paraId="5A8CF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F93C66">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DE6D64">
            <w:pPr>
              <w:widowControl/>
              <w:jc w:val="left"/>
              <w:rPr>
                <w:rFonts w:hint="eastAsia" w:ascii="宋体" w:hAnsi="宋体" w:cs="宋体"/>
                <w:color w:val="000000"/>
                <w:kern w:val="0"/>
                <w:sz w:val="20"/>
                <w:szCs w:val="20"/>
              </w:rPr>
            </w:pPr>
          </w:p>
        </w:tc>
        <w:tc>
          <w:tcPr>
            <w:tcW w:w="4901" w:type="dxa"/>
            <w:gridSpan w:val="6"/>
            <w:tcBorders>
              <w:top w:val="single" w:color="auto" w:sz="4" w:space="0"/>
              <w:left w:val="nil"/>
              <w:bottom w:val="single" w:color="auto" w:sz="4" w:space="0"/>
              <w:right w:val="single" w:color="auto" w:sz="4" w:space="0"/>
            </w:tcBorders>
            <w:shd w:val="clear" w:color="auto" w:fill="auto"/>
          </w:tcPr>
          <w:p w14:paraId="6B175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w:t>
            </w:r>
            <w:r>
              <w:rPr>
                <w:rFonts w:hint="eastAsia" w:ascii="宋体" w:hAnsi="宋体" w:cs="宋体"/>
                <w:color w:val="000000"/>
                <w:kern w:val="0"/>
                <w:sz w:val="20"/>
                <w:szCs w:val="20"/>
                <w:lang w:eastAsia="zh-CN"/>
              </w:rPr>
              <w:t>〔2022〕129号</w:t>
            </w:r>
            <w:r>
              <w:rPr>
                <w:rFonts w:hint="eastAsia" w:ascii="宋体" w:hAnsi="宋体" w:cs="宋体"/>
                <w:color w:val="000000"/>
                <w:kern w:val="0"/>
                <w:sz w:val="20"/>
                <w:szCs w:val="20"/>
              </w:rPr>
              <w:t>-2023年农产品成本调查经费要求，</w:t>
            </w:r>
            <w:r>
              <w:rPr>
                <w:rFonts w:hint="eastAsia" w:ascii="宋体" w:hAnsi="宋体" w:cs="宋体"/>
                <w:color w:val="000000"/>
                <w:kern w:val="0"/>
                <w:sz w:val="20"/>
                <w:szCs w:val="20"/>
                <w:lang w:eastAsia="zh-CN"/>
              </w:rPr>
              <w:t>木垒哈萨克自治县发展和改革委员会</w:t>
            </w:r>
            <w:r>
              <w:rPr>
                <w:rFonts w:hint="eastAsia" w:ascii="宋体" w:hAnsi="宋体" w:cs="宋体"/>
                <w:color w:val="000000"/>
                <w:kern w:val="0"/>
                <w:sz w:val="20"/>
                <w:szCs w:val="20"/>
              </w:rPr>
              <w:t>使用3万元，专项用于农产品成本调查工作。为各级政府研究制定政策提供农产品价格数据，保证农产品价格稳定</w:t>
            </w:r>
            <w:r>
              <w:rPr>
                <w:rFonts w:hint="eastAsia" w:ascii="宋体" w:hAnsi="宋体" w:cs="宋体"/>
                <w:color w:val="000000"/>
                <w:kern w:val="0"/>
                <w:sz w:val="20"/>
                <w:szCs w:val="20"/>
                <w:lang w:eastAsia="zh-CN"/>
              </w:rPr>
              <w:t>。</w:t>
            </w:r>
          </w:p>
        </w:tc>
        <w:tc>
          <w:tcPr>
            <w:tcW w:w="2983" w:type="dxa"/>
            <w:gridSpan w:val="7"/>
            <w:tcBorders>
              <w:top w:val="single" w:color="auto" w:sz="4" w:space="0"/>
              <w:left w:val="nil"/>
              <w:bottom w:val="single" w:color="auto" w:sz="4" w:space="0"/>
              <w:right w:val="single" w:color="auto" w:sz="4" w:space="0"/>
            </w:tcBorders>
            <w:shd w:val="clear" w:color="auto" w:fill="auto"/>
          </w:tcPr>
          <w:p w14:paraId="7AA3B2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2023年支付农产品成本调查经费3万元，其中1.08万元用于调查户误工补助，1.92万元用于调查工作过程中的其他费用。通过27户调查了3个品类农产品价格数据，保证了农产品价格稳定</w:t>
            </w:r>
            <w:r>
              <w:rPr>
                <w:rFonts w:hint="eastAsia" w:ascii="宋体" w:hAnsi="宋体" w:cs="宋体"/>
                <w:color w:val="000000"/>
                <w:kern w:val="0"/>
                <w:sz w:val="20"/>
                <w:szCs w:val="20"/>
                <w:lang w:eastAsia="zh-CN"/>
              </w:rPr>
              <w:t>。</w:t>
            </w:r>
          </w:p>
        </w:tc>
      </w:tr>
      <w:tr w14:paraId="69B2A04A">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88F1376">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EA5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7" w:type="dxa"/>
            <w:vMerge w:val="restart"/>
            <w:tcBorders>
              <w:top w:val="nil"/>
              <w:left w:val="single" w:color="auto" w:sz="4" w:space="0"/>
              <w:bottom w:val="single" w:color="auto" w:sz="4" w:space="0"/>
              <w:right w:val="single" w:color="auto" w:sz="4" w:space="0"/>
            </w:tcBorders>
            <w:shd w:val="clear" w:color="auto" w:fill="auto"/>
            <w:vAlign w:val="center"/>
          </w:tcPr>
          <w:p w14:paraId="1084E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191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1C2A5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F55A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FF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D8D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42F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0966DA8">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BC1D5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BD4527">
            <w:pPr>
              <w:widowControl/>
              <w:jc w:val="left"/>
              <w:rPr>
                <w:rFonts w:hint="eastAsia" w:ascii="宋体" w:hAnsi="宋体" w:cs="宋体"/>
                <w:color w:val="000000"/>
                <w:kern w:val="0"/>
                <w:sz w:val="20"/>
                <w:szCs w:val="20"/>
              </w:rPr>
            </w:pPr>
          </w:p>
        </w:tc>
        <w:tc>
          <w:tcPr>
            <w:tcW w:w="1327" w:type="dxa"/>
            <w:vMerge w:val="continue"/>
            <w:tcBorders>
              <w:top w:val="nil"/>
              <w:left w:val="single" w:color="auto" w:sz="4" w:space="0"/>
              <w:bottom w:val="single" w:color="auto" w:sz="4" w:space="0"/>
              <w:right w:val="single" w:color="auto" w:sz="4" w:space="0"/>
            </w:tcBorders>
            <w:vAlign w:val="center"/>
          </w:tcPr>
          <w:p w14:paraId="5B12C0C2">
            <w:pPr>
              <w:widowControl/>
              <w:jc w:val="left"/>
              <w:rPr>
                <w:rFonts w:hint="eastAsia" w:ascii="宋体" w:hAnsi="宋体" w:cs="宋体"/>
                <w:color w:val="000000"/>
                <w:kern w:val="0"/>
                <w:sz w:val="20"/>
                <w:szCs w:val="20"/>
              </w:rPr>
            </w:pPr>
          </w:p>
        </w:tc>
        <w:tc>
          <w:tcPr>
            <w:tcW w:w="2342" w:type="dxa"/>
            <w:gridSpan w:val="3"/>
            <w:vMerge w:val="continue"/>
            <w:tcBorders>
              <w:top w:val="single" w:color="auto" w:sz="4" w:space="0"/>
              <w:left w:val="single" w:color="auto" w:sz="4" w:space="0"/>
              <w:bottom w:val="single" w:color="auto" w:sz="4" w:space="0"/>
              <w:right w:val="single" w:color="auto" w:sz="4" w:space="0"/>
            </w:tcBorders>
            <w:vAlign w:val="center"/>
          </w:tcPr>
          <w:p w14:paraId="7979B946">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DC5BAB9">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359934A2">
            <w:pPr>
              <w:widowControl/>
              <w:jc w:val="left"/>
              <w:rPr>
                <w:rFonts w:hint="eastAsia" w:ascii="宋体" w:hAnsi="宋体" w:cs="宋体"/>
                <w:color w:val="000000"/>
                <w:kern w:val="0"/>
                <w:sz w:val="20"/>
                <w:szCs w:val="20"/>
              </w:rPr>
            </w:pPr>
          </w:p>
        </w:tc>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14:paraId="5184F421">
            <w:pPr>
              <w:widowControl/>
              <w:jc w:val="left"/>
              <w:rPr>
                <w:rFonts w:hint="eastAsia" w:ascii="宋体" w:hAnsi="宋体" w:cs="宋体"/>
                <w:color w:val="000000"/>
                <w:kern w:val="0"/>
                <w:sz w:val="20"/>
                <w:szCs w:val="20"/>
              </w:rPr>
            </w:pPr>
          </w:p>
        </w:tc>
        <w:tc>
          <w:tcPr>
            <w:tcW w:w="685" w:type="dxa"/>
            <w:gridSpan w:val="2"/>
            <w:vMerge w:val="continue"/>
            <w:tcBorders>
              <w:top w:val="single" w:color="auto" w:sz="4" w:space="0"/>
              <w:left w:val="single" w:color="auto" w:sz="4" w:space="0"/>
              <w:bottom w:val="single" w:color="auto" w:sz="4" w:space="0"/>
              <w:right w:val="single" w:color="auto" w:sz="4" w:space="0"/>
            </w:tcBorders>
            <w:vAlign w:val="center"/>
          </w:tcPr>
          <w:p w14:paraId="7496888D">
            <w:pPr>
              <w:widowControl/>
              <w:jc w:val="left"/>
              <w:rPr>
                <w:rFonts w:hint="eastAsia" w:ascii="宋体" w:hAnsi="宋体" w:cs="宋体"/>
                <w:color w:val="000000"/>
                <w:kern w:val="0"/>
                <w:sz w:val="20"/>
                <w:szCs w:val="20"/>
              </w:rPr>
            </w:pPr>
          </w:p>
        </w:tc>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4E017F02">
            <w:pPr>
              <w:widowControl/>
              <w:jc w:val="left"/>
              <w:rPr>
                <w:rFonts w:hint="eastAsia" w:ascii="宋体" w:hAnsi="宋体" w:cs="宋体"/>
                <w:color w:val="000000"/>
                <w:kern w:val="0"/>
                <w:sz w:val="20"/>
                <w:szCs w:val="20"/>
              </w:rPr>
            </w:pPr>
          </w:p>
        </w:tc>
      </w:tr>
      <w:tr w14:paraId="062956A4">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5F98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0AB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7" w:type="dxa"/>
            <w:tcBorders>
              <w:top w:val="nil"/>
              <w:left w:val="nil"/>
              <w:bottom w:val="single" w:color="auto" w:sz="4" w:space="0"/>
              <w:right w:val="single" w:color="auto" w:sz="4" w:space="0"/>
            </w:tcBorders>
            <w:shd w:val="clear" w:color="auto" w:fill="auto"/>
            <w:vAlign w:val="center"/>
          </w:tcPr>
          <w:p w14:paraId="7B43F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78B7EA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发放误工补贴农产品成本调查登记户数量</w:t>
            </w:r>
          </w:p>
        </w:tc>
        <w:tc>
          <w:tcPr>
            <w:tcW w:w="816" w:type="dxa"/>
            <w:tcBorders>
              <w:top w:val="nil"/>
              <w:left w:val="nil"/>
              <w:bottom w:val="single" w:color="auto" w:sz="4" w:space="0"/>
              <w:right w:val="single" w:color="auto" w:sz="4" w:space="0"/>
            </w:tcBorders>
            <w:shd w:val="clear" w:color="auto" w:fill="auto"/>
            <w:vAlign w:val="center"/>
          </w:tcPr>
          <w:p w14:paraId="42B30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&gt;=27户</w:t>
            </w:r>
          </w:p>
        </w:tc>
        <w:tc>
          <w:tcPr>
            <w:tcW w:w="716" w:type="dxa"/>
            <w:tcBorders>
              <w:top w:val="nil"/>
              <w:left w:val="nil"/>
              <w:bottom w:val="single" w:color="auto" w:sz="4" w:space="0"/>
              <w:right w:val="single" w:color="auto" w:sz="4" w:space="0"/>
            </w:tcBorders>
            <w:shd w:val="clear" w:color="auto" w:fill="auto"/>
            <w:vAlign w:val="center"/>
          </w:tcPr>
          <w:p w14:paraId="6818F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13B0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7062E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D43D3A6">
            <w:pPr>
              <w:widowControl/>
              <w:jc w:val="center"/>
              <w:rPr>
                <w:rFonts w:hint="eastAsia" w:ascii="宋体" w:hAnsi="宋体" w:cs="宋体"/>
                <w:color w:val="000000"/>
                <w:kern w:val="0"/>
                <w:sz w:val="20"/>
                <w:szCs w:val="20"/>
              </w:rPr>
            </w:pPr>
          </w:p>
        </w:tc>
      </w:tr>
      <w:tr w14:paraId="4B433DA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ED8F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976A6F">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9DAC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593FC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农产品成本调查品种数</w:t>
            </w:r>
          </w:p>
        </w:tc>
        <w:tc>
          <w:tcPr>
            <w:tcW w:w="816" w:type="dxa"/>
            <w:tcBorders>
              <w:top w:val="nil"/>
              <w:left w:val="nil"/>
              <w:bottom w:val="single" w:color="auto" w:sz="4" w:space="0"/>
              <w:right w:val="single" w:color="auto" w:sz="4" w:space="0"/>
            </w:tcBorders>
            <w:shd w:val="clear" w:color="auto" w:fill="auto"/>
            <w:vAlign w:val="center"/>
          </w:tcPr>
          <w:p w14:paraId="7DB74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&gt;=3类</w:t>
            </w:r>
          </w:p>
        </w:tc>
        <w:tc>
          <w:tcPr>
            <w:tcW w:w="716" w:type="dxa"/>
            <w:tcBorders>
              <w:top w:val="nil"/>
              <w:left w:val="nil"/>
              <w:bottom w:val="single" w:color="auto" w:sz="4" w:space="0"/>
              <w:right w:val="single" w:color="auto" w:sz="4" w:space="0"/>
            </w:tcBorders>
            <w:shd w:val="clear" w:color="auto" w:fill="auto"/>
            <w:vAlign w:val="center"/>
          </w:tcPr>
          <w:p w14:paraId="7C073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=3类</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3ACF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14E4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43FEED87">
            <w:pPr>
              <w:widowControl/>
              <w:jc w:val="center"/>
              <w:rPr>
                <w:rFonts w:hint="eastAsia" w:ascii="宋体" w:hAnsi="宋体" w:cs="宋体"/>
                <w:color w:val="000000"/>
                <w:kern w:val="0"/>
                <w:sz w:val="20"/>
                <w:szCs w:val="20"/>
              </w:rPr>
            </w:pPr>
          </w:p>
        </w:tc>
      </w:tr>
      <w:tr w14:paraId="59F3E1F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A0FFE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86A274">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4C130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11C3A0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开展实地调查次数</w:t>
            </w:r>
          </w:p>
        </w:tc>
        <w:tc>
          <w:tcPr>
            <w:tcW w:w="816" w:type="dxa"/>
            <w:tcBorders>
              <w:top w:val="nil"/>
              <w:left w:val="nil"/>
              <w:bottom w:val="single" w:color="auto" w:sz="4" w:space="0"/>
              <w:right w:val="single" w:color="auto" w:sz="4" w:space="0"/>
            </w:tcBorders>
            <w:shd w:val="clear" w:color="auto" w:fill="auto"/>
            <w:vAlign w:val="center"/>
          </w:tcPr>
          <w:p w14:paraId="19018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tcBorders>
              <w:top w:val="nil"/>
              <w:left w:val="nil"/>
              <w:bottom w:val="single" w:color="auto" w:sz="4" w:space="0"/>
              <w:right w:val="single" w:color="auto" w:sz="4" w:space="0"/>
            </w:tcBorders>
            <w:shd w:val="clear" w:color="auto" w:fill="auto"/>
            <w:vAlign w:val="center"/>
          </w:tcPr>
          <w:p w14:paraId="6A40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3B23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260B2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440095F">
            <w:pPr>
              <w:widowControl/>
              <w:jc w:val="center"/>
              <w:rPr>
                <w:rFonts w:hint="eastAsia" w:ascii="宋体" w:hAnsi="宋体" w:cs="宋体"/>
                <w:color w:val="000000"/>
                <w:kern w:val="0"/>
                <w:sz w:val="20"/>
                <w:szCs w:val="20"/>
              </w:rPr>
            </w:pPr>
          </w:p>
        </w:tc>
      </w:tr>
      <w:tr w14:paraId="2FE808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30A98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E58AD8">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0E0C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DDCB8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农产品调查人员业务培训</w:t>
            </w:r>
          </w:p>
        </w:tc>
        <w:tc>
          <w:tcPr>
            <w:tcW w:w="816" w:type="dxa"/>
            <w:tcBorders>
              <w:top w:val="nil"/>
              <w:left w:val="nil"/>
              <w:bottom w:val="single" w:color="auto" w:sz="4" w:space="0"/>
              <w:right w:val="single" w:color="auto" w:sz="4" w:space="0"/>
            </w:tcBorders>
            <w:shd w:val="clear" w:color="auto" w:fill="auto"/>
            <w:vAlign w:val="center"/>
          </w:tcPr>
          <w:p w14:paraId="67AB3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tcBorders>
              <w:top w:val="nil"/>
              <w:left w:val="nil"/>
              <w:bottom w:val="single" w:color="auto" w:sz="4" w:space="0"/>
              <w:right w:val="single" w:color="auto" w:sz="4" w:space="0"/>
            </w:tcBorders>
            <w:shd w:val="clear" w:color="auto" w:fill="auto"/>
            <w:vAlign w:val="center"/>
          </w:tcPr>
          <w:p w14:paraId="2DDD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8C6D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704C5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3CEC7507">
            <w:pPr>
              <w:widowControl/>
              <w:jc w:val="center"/>
              <w:rPr>
                <w:rFonts w:hint="eastAsia" w:ascii="宋体" w:hAnsi="宋体" w:cs="宋体"/>
                <w:color w:val="000000"/>
                <w:kern w:val="0"/>
                <w:sz w:val="20"/>
                <w:szCs w:val="20"/>
              </w:rPr>
            </w:pPr>
          </w:p>
        </w:tc>
      </w:tr>
      <w:tr w14:paraId="526A9F8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8FBA6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BF024B7">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6BD6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5BE52F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农产品价格调查准确率</w:t>
            </w:r>
          </w:p>
        </w:tc>
        <w:tc>
          <w:tcPr>
            <w:tcW w:w="816" w:type="dxa"/>
            <w:tcBorders>
              <w:top w:val="nil"/>
              <w:left w:val="nil"/>
              <w:bottom w:val="single" w:color="auto" w:sz="4" w:space="0"/>
              <w:right w:val="single" w:color="auto" w:sz="4" w:space="0"/>
            </w:tcBorders>
            <w:shd w:val="clear" w:color="auto" w:fill="auto"/>
            <w:vAlign w:val="center"/>
          </w:tcPr>
          <w:p w14:paraId="02497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8A94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15B4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6EBB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BE8315B">
            <w:pPr>
              <w:widowControl/>
              <w:jc w:val="center"/>
              <w:rPr>
                <w:rFonts w:hint="eastAsia" w:ascii="宋体" w:hAnsi="宋体" w:cs="宋体"/>
                <w:color w:val="000000"/>
                <w:kern w:val="0"/>
                <w:sz w:val="20"/>
                <w:szCs w:val="20"/>
              </w:rPr>
            </w:pPr>
          </w:p>
        </w:tc>
      </w:tr>
      <w:tr w14:paraId="1945BD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75C81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8AFFD7">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2385A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5939B3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农产品成本调查完成时间</w:t>
            </w:r>
          </w:p>
        </w:tc>
        <w:tc>
          <w:tcPr>
            <w:tcW w:w="816" w:type="dxa"/>
            <w:tcBorders>
              <w:top w:val="nil"/>
              <w:left w:val="nil"/>
              <w:bottom w:val="single" w:color="auto" w:sz="4" w:space="0"/>
              <w:right w:val="single" w:color="auto" w:sz="4" w:space="0"/>
            </w:tcBorders>
            <w:shd w:val="clear" w:color="auto" w:fill="auto"/>
            <w:vAlign w:val="center"/>
          </w:tcPr>
          <w:p w14:paraId="15AB2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716" w:type="dxa"/>
            <w:tcBorders>
              <w:top w:val="nil"/>
              <w:left w:val="nil"/>
              <w:bottom w:val="single" w:color="auto" w:sz="4" w:space="0"/>
              <w:right w:val="single" w:color="auto" w:sz="4" w:space="0"/>
            </w:tcBorders>
            <w:shd w:val="clear" w:color="auto" w:fill="auto"/>
            <w:vAlign w:val="center"/>
          </w:tcPr>
          <w:p w14:paraId="61B1D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F414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0737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D5574E7">
            <w:pPr>
              <w:widowControl/>
              <w:jc w:val="center"/>
              <w:rPr>
                <w:rFonts w:hint="eastAsia" w:ascii="宋体" w:hAnsi="宋体" w:cs="宋体"/>
                <w:color w:val="000000"/>
                <w:kern w:val="0"/>
                <w:sz w:val="20"/>
                <w:szCs w:val="20"/>
              </w:rPr>
            </w:pPr>
          </w:p>
        </w:tc>
      </w:tr>
      <w:tr w14:paraId="4020E32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76237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63C2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7" w:type="dxa"/>
            <w:tcBorders>
              <w:top w:val="nil"/>
              <w:left w:val="nil"/>
              <w:bottom w:val="single" w:color="auto" w:sz="4" w:space="0"/>
              <w:right w:val="single" w:color="auto" w:sz="4" w:space="0"/>
            </w:tcBorders>
            <w:shd w:val="clear" w:color="auto" w:fill="auto"/>
            <w:vAlign w:val="center"/>
          </w:tcPr>
          <w:p w14:paraId="4D9FF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D586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6" w:type="dxa"/>
            <w:tcBorders>
              <w:top w:val="nil"/>
              <w:left w:val="nil"/>
              <w:bottom w:val="single" w:color="auto" w:sz="4" w:space="0"/>
              <w:right w:val="single" w:color="auto" w:sz="4" w:space="0"/>
            </w:tcBorders>
            <w:shd w:val="clear" w:color="auto" w:fill="auto"/>
            <w:vAlign w:val="center"/>
          </w:tcPr>
          <w:p w14:paraId="14430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6A200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94D5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75BB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510887D">
            <w:pPr>
              <w:widowControl/>
              <w:jc w:val="center"/>
              <w:rPr>
                <w:rFonts w:hint="eastAsia" w:ascii="宋体" w:hAnsi="宋体" w:cs="宋体"/>
                <w:color w:val="000000"/>
                <w:kern w:val="0"/>
                <w:sz w:val="20"/>
                <w:szCs w:val="20"/>
              </w:rPr>
            </w:pPr>
          </w:p>
        </w:tc>
      </w:tr>
      <w:tr w14:paraId="427D0B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6F35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514339">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78CD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70FD4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农产品价格稳定率</w:t>
            </w:r>
          </w:p>
        </w:tc>
        <w:tc>
          <w:tcPr>
            <w:tcW w:w="816" w:type="dxa"/>
            <w:tcBorders>
              <w:top w:val="nil"/>
              <w:left w:val="nil"/>
              <w:bottom w:val="single" w:color="auto" w:sz="4" w:space="0"/>
              <w:right w:val="single" w:color="auto" w:sz="4" w:space="0"/>
            </w:tcBorders>
            <w:shd w:val="clear" w:color="auto" w:fill="auto"/>
            <w:vAlign w:val="center"/>
          </w:tcPr>
          <w:p w14:paraId="409F7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40A67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D2E2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7F247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35B43A13">
            <w:pPr>
              <w:widowControl/>
              <w:jc w:val="center"/>
              <w:rPr>
                <w:rFonts w:hint="eastAsia" w:ascii="宋体" w:hAnsi="宋体" w:cs="宋体"/>
                <w:color w:val="000000"/>
                <w:kern w:val="0"/>
                <w:sz w:val="20"/>
                <w:szCs w:val="20"/>
              </w:rPr>
            </w:pPr>
          </w:p>
        </w:tc>
      </w:tr>
      <w:tr w14:paraId="15343D9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00DC8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41A0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7" w:type="dxa"/>
            <w:tcBorders>
              <w:top w:val="nil"/>
              <w:left w:val="nil"/>
              <w:bottom w:val="single" w:color="auto" w:sz="4" w:space="0"/>
              <w:right w:val="single" w:color="auto" w:sz="4" w:space="0"/>
            </w:tcBorders>
            <w:shd w:val="clear" w:color="auto" w:fill="auto"/>
            <w:vAlign w:val="center"/>
          </w:tcPr>
          <w:p w14:paraId="66316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FD1FB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816" w:type="dxa"/>
            <w:tcBorders>
              <w:top w:val="nil"/>
              <w:left w:val="nil"/>
              <w:bottom w:val="single" w:color="auto" w:sz="4" w:space="0"/>
              <w:right w:val="single" w:color="auto" w:sz="4" w:space="0"/>
            </w:tcBorders>
            <w:shd w:val="clear" w:color="auto" w:fill="auto"/>
            <w:vAlign w:val="center"/>
          </w:tcPr>
          <w:p w14:paraId="05AAE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7889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1D3D1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4CA2E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0010081">
            <w:pPr>
              <w:widowControl/>
              <w:jc w:val="center"/>
              <w:rPr>
                <w:rFonts w:hint="eastAsia" w:ascii="宋体" w:hAnsi="宋体" w:cs="宋体"/>
                <w:color w:val="000000"/>
                <w:kern w:val="0"/>
                <w:sz w:val="20"/>
                <w:szCs w:val="20"/>
              </w:rPr>
            </w:pPr>
          </w:p>
        </w:tc>
      </w:tr>
      <w:tr w14:paraId="5E3CD80C">
        <w:tblPrEx>
          <w:tblCellMar>
            <w:top w:w="0" w:type="dxa"/>
            <w:left w:w="108" w:type="dxa"/>
            <w:bottom w:w="0" w:type="dxa"/>
            <w:right w:w="108" w:type="dxa"/>
          </w:tblCellMar>
        </w:tblPrEx>
        <w:trPr>
          <w:trHeight w:val="288" w:hRule="atLeast"/>
          <w:jc w:val="center"/>
        </w:trPr>
        <w:tc>
          <w:tcPr>
            <w:tcW w:w="603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02B8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0F52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07C82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3F21182">
            <w:pPr>
              <w:widowControl/>
              <w:jc w:val="center"/>
              <w:rPr>
                <w:rFonts w:hint="eastAsia" w:ascii="宋体" w:hAnsi="宋体" w:cs="宋体"/>
                <w:color w:val="000000"/>
                <w:kern w:val="0"/>
                <w:sz w:val="20"/>
                <w:szCs w:val="20"/>
              </w:rPr>
            </w:pPr>
          </w:p>
        </w:tc>
      </w:tr>
    </w:tbl>
    <w:p w14:paraId="5F393A72">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90"/>
        <w:gridCol w:w="371"/>
        <w:gridCol w:w="529"/>
        <w:gridCol w:w="559"/>
        <w:gridCol w:w="886"/>
        <w:gridCol w:w="780"/>
        <w:gridCol w:w="242"/>
        <w:gridCol w:w="402"/>
        <w:gridCol w:w="255"/>
        <w:gridCol w:w="557"/>
        <w:gridCol w:w="396"/>
        <w:gridCol w:w="751"/>
      </w:tblGrid>
      <w:tr w14:paraId="31B7DAB3">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840B7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D9A572">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4DC70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8870C9A">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ACE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76FE6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2023年应急面粉储备款</w:t>
            </w:r>
          </w:p>
        </w:tc>
      </w:tr>
      <w:tr w14:paraId="551ACF43">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B3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33145AA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EE79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05241A8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木垒哈萨克自治县发展和改革委员会</w:t>
            </w:r>
          </w:p>
        </w:tc>
      </w:tr>
      <w:tr w14:paraId="65239FB2">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8E2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678EE0B3">
            <w:pPr>
              <w:widowControl/>
              <w:jc w:val="center"/>
              <w:rPr>
                <w:rFonts w:hint="eastAsia" w:ascii="宋体" w:hAnsi="宋体" w:cs="宋体"/>
                <w:color w:val="000000"/>
                <w:kern w:val="0"/>
                <w:sz w:val="20"/>
                <w:szCs w:val="20"/>
              </w:rPr>
            </w:pPr>
          </w:p>
        </w:tc>
        <w:tc>
          <w:tcPr>
            <w:tcW w:w="900" w:type="dxa"/>
            <w:gridSpan w:val="2"/>
            <w:tcBorders>
              <w:top w:val="nil"/>
              <w:left w:val="nil"/>
              <w:bottom w:val="single" w:color="auto" w:sz="4" w:space="0"/>
              <w:right w:val="single" w:color="auto" w:sz="4" w:space="0"/>
            </w:tcBorders>
            <w:shd w:val="clear" w:color="auto" w:fill="auto"/>
            <w:vAlign w:val="center"/>
          </w:tcPr>
          <w:p w14:paraId="6F4F1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76E1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52D1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CD3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A0C4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035E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4BBE14">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2B25CE9">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FA32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2190A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49D9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CCF1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0886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CF86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19DD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3FBFCB">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7C7FFFF">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5EB4C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5863F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F0D0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28F4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D35B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206C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9B9F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B91B7A">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1ADB9AB">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40B8B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gridSpan w:val="2"/>
            <w:tcBorders>
              <w:top w:val="nil"/>
              <w:left w:val="nil"/>
              <w:bottom w:val="single" w:color="auto" w:sz="4" w:space="0"/>
              <w:right w:val="single" w:color="auto" w:sz="4" w:space="0"/>
            </w:tcBorders>
            <w:shd w:val="clear" w:color="auto" w:fill="auto"/>
          </w:tcPr>
          <w:p w14:paraId="0947D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4268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63B6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0979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391C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A42E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F26205">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C600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B2E9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6124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7310610">
        <w:tblPrEx>
          <w:tblCellMar>
            <w:top w:w="0" w:type="dxa"/>
            <w:left w:w="108" w:type="dxa"/>
            <w:bottom w:w="0" w:type="dxa"/>
            <w:right w:w="108" w:type="dxa"/>
          </w:tblCellMar>
        </w:tblPrEx>
        <w:trPr>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A736A7">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7FE880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资金为</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2023年应急面粉储备款，主要内容：做好全县应急面粉储备、供应工作，立足于“防大灾，抗大险，应大急”的指导思想，有效应对各种突发性事件，提高应急救助能力，保障今后</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面粉供应不发生断档现象及县政府在紧急情况下需要面粉投放市场或救灾时有面粉可用，确保社会大局稳定。</w:t>
            </w:r>
          </w:p>
        </w:tc>
        <w:tc>
          <w:tcPr>
            <w:tcW w:w="3383" w:type="dxa"/>
            <w:gridSpan w:val="7"/>
            <w:tcBorders>
              <w:top w:val="single" w:color="auto" w:sz="4" w:space="0"/>
              <w:left w:val="nil"/>
              <w:bottom w:val="single" w:color="auto" w:sz="4" w:space="0"/>
              <w:right w:val="single" w:color="auto" w:sz="4" w:space="0"/>
            </w:tcBorders>
            <w:shd w:val="clear" w:color="auto" w:fill="auto"/>
          </w:tcPr>
          <w:p w14:paraId="1597AF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截至本项目自评之日，我单位已完成如下工作：已储备面粉数量250吨，完成储备方全年质量抽查次数12次，支付费用5万元。提高了应急救助能力，保障了今后</w:t>
            </w: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面粉供应不发生断档现象及县政府在紧急情况下需要面粉投放市场或救灾时有面粉可用，确保了社会大局稳定。</w:t>
            </w:r>
          </w:p>
        </w:tc>
      </w:tr>
      <w:tr w14:paraId="7E05C9A4">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EC2997C">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A87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962"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8F1E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AC1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5D1FE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2C9FD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AE2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D8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FB4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CC0607">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F1587D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8095FA2">
            <w:pPr>
              <w:widowControl/>
              <w:jc w:val="left"/>
              <w:rPr>
                <w:rFonts w:hint="eastAsia" w:ascii="宋体" w:hAnsi="宋体" w:cs="宋体"/>
                <w:color w:val="000000"/>
                <w:kern w:val="0"/>
                <w:sz w:val="20"/>
                <w:szCs w:val="20"/>
              </w:rPr>
            </w:pPr>
          </w:p>
        </w:tc>
        <w:tc>
          <w:tcPr>
            <w:tcW w:w="1962" w:type="dxa"/>
            <w:gridSpan w:val="2"/>
            <w:vMerge w:val="continue"/>
            <w:tcBorders>
              <w:top w:val="nil"/>
              <w:left w:val="single" w:color="auto" w:sz="4" w:space="0"/>
              <w:bottom w:val="single" w:color="auto" w:sz="4" w:space="0"/>
              <w:right w:val="single" w:color="auto" w:sz="4" w:space="0"/>
            </w:tcBorders>
            <w:vAlign w:val="center"/>
          </w:tcPr>
          <w:p w14:paraId="5AA68E7C">
            <w:pPr>
              <w:widowControl/>
              <w:jc w:val="left"/>
              <w:rPr>
                <w:rFonts w:hint="eastAsia" w:ascii="宋体" w:hAnsi="宋体" w:cs="宋体"/>
                <w:color w:val="000000"/>
                <w:kern w:val="0"/>
                <w:sz w:val="20"/>
                <w:szCs w:val="20"/>
              </w:rPr>
            </w:pPr>
          </w:p>
        </w:tc>
        <w:tc>
          <w:tcPr>
            <w:tcW w:w="1088" w:type="dxa"/>
            <w:gridSpan w:val="2"/>
            <w:vMerge w:val="continue"/>
            <w:tcBorders>
              <w:top w:val="single" w:color="auto" w:sz="4" w:space="0"/>
              <w:left w:val="single" w:color="auto" w:sz="4" w:space="0"/>
              <w:bottom w:val="single" w:color="auto" w:sz="4" w:space="0"/>
              <w:right w:val="single" w:color="auto" w:sz="4" w:space="0"/>
            </w:tcBorders>
            <w:vAlign w:val="center"/>
          </w:tcPr>
          <w:p w14:paraId="42B51392">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7BCB0CA">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5CD70CAC">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10E13C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54198558">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21D68D1">
            <w:pPr>
              <w:widowControl/>
              <w:jc w:val="left"/>
              <w:rPr>
                <w:rFonts w:hint="eastAsia" w:ascii="宋体" w:hAnsi="宋体" w:cs="宋体"/>
                <w:color w:val="000000"/>
                <w:kern w:val="0"/>
                <w:sz w:val="20"/>
                <w:szCs w:val="20"/>
              </w:rPr>
            </w:pPr>
          </w:p>
        </w:tc>
      </w:tr>
      <w:tr w14:paraId="76993B86">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5102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8FB5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962" w:type="dxa"/>
            <w:gridSpan w:val="2"/>
            <w:tcBorders>
              <w:top w:val="nil"/>
              <w:left w:val="nil"/>
              <w:bottom w:val="single" w:color="auto" w:sz="4" w:space="0"/>
              <w:right w:val="single" w:color="auto" w:sz="4" w:space="0"/>
            </w:tcBorders>
            <w:shd w:val="clear" w:color="auto" w:fill="auto"/>
            <w:vAlign w:val="center"/>
          </w:tcPr>
          <w:p w14:paraId="2D33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2C62E4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储备面粉数量</w:t>
            </w:r>
          </w:p>
        </w:tc>
        <w:tc>
          <w:tcPr>
            <w:tcW w:w="886" w:type="dxa"/>
            <w:tcBorders>
              <w:top w:val="nil"/>
              <w:left w:val="nil"/>
              <w:bottom w:val="single" w:color="auto" w:sz="4" w:space="0"/>
              <w:right w:val="single" w:color="auto" w:sz="4" w:space="0"/>
            </w:tcBorders>
            <w:shd w:val="clear" w:color="auto" w:fill="auto"/>
            <w:vAlign w:val="center"/>
          </w:tcPr>
          <w:p w14:paraId="68EB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&gt;=250吨</w:t>
            </w:r>
          </w:p>
        </w:tc>
        <w:tc>
          <w:tcPr>
            <w:tcW w:w="780" w:type="dxa"/>
            <w:tcBorders>
              <w:top w:val="nil"/>
              <w:left w:val="nil"/>
              <w:bottom w:val="single" w:color="auto" w:sz="4" w:space="0"/>
              <w:right w:val="single" w:color="auto" w:sz="4" w:space="0"/>
            </w:tcBorders>
            <w:shd w:val="clear" w:color="auto" w:fill="auto"/>
            <w:vAlign w:val="center"/>
          </w:tcPr>
          <w:p w14:paraId="335A8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=250吨</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3D7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31A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BEDA5F3">
            <w:pPr>
              <w:widowControl/>
              <w:jc w:val="center"/>
              <w:rPr>
                <w:rFonts w:hint="eastAsia" w:ascii="宋体" w:hAnsi="宋体" w:cs="宋体"/>
                <w:color w:val="000000"/>
                <w:kern w:val="0"/>
                <w:sz w:val="20"/>
                <w:szCs w:val="20"/>
              </w:rPr>
            </w:pPr>
          </w:p>
        </w:tc>
      </w:tr>
      <w:tr w14:paraId="0F2731A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F8D8DE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48A7585">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6ECB4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067AA3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储备方全年质量抽查次数</w:t>
            </w:r>
          </w:p>
        </w:tc>
        <w:tc>
          <w:tcPr>
            <w:tcW w:w="886" w:type="dxa"/>
            <w:tcBorders>
              <w:top w:val="nil"/>
              <w:left w:val="nil"/>
              <w:bottom w:val="single" w:color="auto" w:sz="4" w:space="0"/>
              <w:right w:val="single" w:color="auto" w:sz="4" w:space="0"/>
            </w:tcBorders>
            <w:shd w:val="clear" w:color="auto" w:fill="auto"/>
            <w:vAlign w:val="center"/>
          </w:tcPr>
          <w:p w14:paraId="29F05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05493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41A3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CEE4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BA81B8B">
            <w:pPr>
              <w:widowControl/>
              <w:jc w:val="center"/>
              <w:rPr>
                <w:rFonts w:hint="eastAsia" w:ascii="宋体" w:hAnsi="宋体" w:cs="宋体"/>
                <w:color w:val="000000"/>
                <w:kern w:val="0"/>
                <w:sz w:val="20"/>
                <w:szCs w:val="20"/>
              </w:rPr>
            </w:pPr>
          </w:p>
        </w:tc>
      </w:tr>
      <w:tr w14:paraId="17A4F64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DA7BF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757A18B">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57DD2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5A55D9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面粉质量符合国家标准</w:t>
            </w:r>
          </w:p>
        </w:tc>
        <w:tc>
          <w:tcPr>
            <w:tcW w:w="886" w:type="dxa"/>
            <w:tcBorders>
              <w:top w:val="nil"/>
              <w:left w:val="nil"/>
              <w:bottom w:val="single" w:color="auto" w:sz="4" w:space="0"/>
              <w:right w:val="single" w:color="auto" w:sz="4" w:space="0"/>
            </w:tcBorders>
            <w:shd w:val="clear" w:color="auto" w:fill="auto"/>
            <w:vAlign w:val="center"/>
          </w:tcPr>
          <w:p w14:paraId="2A89D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61E7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A6F4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9D0B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BF1CD9">
            <w:pPr>
              <w:widowControl/>
              <w:jc w:val="center"/>
              <w:rPr>
                <w:rFonts w:hint="eastAsia" w:ascii="宋体" w:hAnsi="宋体" w:cs="宋体"/>
                <w:color w:val="000000"/>
                <w:kern w:val="0"/>
                <w:sz w:val="20"/>
                <w:szCs w:val="20"/>
              </w:rPr>
            </w:pPr>
          </w:p>
        </w:tc>
      </w:tr>
      <w:tr w14:paraId="22F4078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E88D2A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205B70B">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404BF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3D307D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储备方因需调用面粉时效</w:t>
            </w:r>
          </w:p>
        </w:tc>
        <w:tc>
          <w:tcPr>
            <w:tcW w:w="886" w:type="dxa"/>
            <w:tcBorders>
              <w:top w:val="nil"/>
              <w:left w:val="nil"/>
              <w:bottom w:val="single" w:color="auto" w:sz="4" w:space="0"/>
              <w:right w:val="single" w:color="auto" w:sz="4" w:space="0"/>
            </w:tcBorders>
            <w:shd w:val="clear" w:color="auto" w:fill="auto"/>
            <w:vAlign w:val="center"/>
          </w:tcPr>
          <w:p w14:paraId="0848D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&lt;=24小时</w:t>
            </w:r>
          </w:p>
        </w:tc>
        <w:tc>
          <w:tcPr>
            <w:tcW w:w="780" w:type="dxa"/>
            <w:tcBorders>
              <w:top w:val="nil"/>
              <w:left w:val="nil"/>
              <w:bottom w:val="single" w:color="auto" w:sz="4" w:space="0"/>
              <w:right w:val="single" w:color="auto" w:sz="4" w:space="0"/>
            </w:tcBorders>
            <w:shd w:val="clear" w:color="auto" w:fill="auto"/>
            <w:vAlign w:val="center"/>
          </w:tcPr>
          <w:p w14:paraId="6D86E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=24小时</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B14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A982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936BD84">
            <w:pPr>
              <w:widowControl/>
              <w:jc w:val="center"/>
              <w:rPr>
                <w:rFonts w:hint="eastAsia" w:ascii="宋体" w:hAnsi="宋体" w:cs="宋体"/>
                <w:color w:val="000000"/>
                <w:kern w:val="0"/>
                <w:sz w:val="20"/>
                <w:szCs w:val="20"/>
              </w:rPr>
            </w:pPr>
          </w:p>
        </w:tc>
      </w:tr>
      <w:tr w14:paraId="47C6C9D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6D0EB2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7DA2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962" w:type="dxa"/>
            <w:gridSpan w:val="2"/>
            <w:tcBorders>
              <w:top w:val="nil"/>
              <w:left w:val="nil"/>
              <w:bottom w:val="single" w:color="auto" w:sz="4" w:space="0"/>
              <w:right w:val="single" w:color="auto" w:sz="4" w:space="0"/>
            </w:tcBorders>
            <w:shd w:val="clear" w:color="auto" w:fill="auto"/>
            <w:vAlign w:val="center"/>
          </w:tcPr>
          <w:p w14:paraId="27A53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09704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14:paraId="329E9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08F48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91AD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C7C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F13E131">
            <w:pPr>
              <w:widowControl/>
              <w:jc w:val="center"/>
              <w:rPr>
                <w:rFonts w:hint="eastAsia" w:ascii="宋体" w:hAnsi="宋体" w:cs="宋体"/>
                <w:color w:val="000000"/>
                <w:kern w:val="0"/>
                <w:sz w:val="20"/>
                <w:szCs w:val="20"/>
              </w:rPr>
            </w:pPr>
          </w:p>
        </w:tc>
      </w:tr>
      <w:tr w14:paraId="0B3CE4B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03B2B8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900D63E">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6027F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77FB1A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14:paraId="773D9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0DF9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C121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5AA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55A4DA">
            <w:pPr>
              <w:widowControl/>
              <w:jc w:val="center"/>
              <w:rPr>
                <w:rFonts w:hint="eastAsia" w:ascii="宋体" w:hAnsi="宋体" w:cs="宋体"/>
                <w:color w:val="000000"/>
                <w:kern w:val="0"/>
                <w:sz w:val="20"/>
                <w:szCs w:val="20"/>
              </w:rPr>
            </w:pPr>
          </w:p>
        </w:tc>
      </w:tr>
      <w:tr w14:paraId="343E6CA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577A06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9520DF4">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2BEDF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6447F7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对市场面粉价格影响率</w:t>
            </w:r>
          </w:p>
        </w:tc>
        <w:tc>
          <w:tcPr>
            <w:tcW w:w="886" w:type="dxa"/>
            <w:tcBorders>
              <w:top w:val="nil"/>
              <w:left w:val="nil"/>
              <w:bottom w:val="single" w:color="auto" w:sz="4" w:space="0"/>
              <w:right w:val="single" w:color="auto" w:sz="4" w:space="0"/>
            </w:tcBorders>
            <w:shd w:val="clear" w:color="auto" w:fill="auto"/>
            <w:vAlign w:val="center"/>
          </w:tcPr>
          <w:p w14:paraId="37E4E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62AA4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8862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260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C4A2F4">
            <w:pPr>
              <w:widowControl/>
              <w:jc w:val="center"/>
              <w:rPr>
                <w:rFonts w:hint="eastAsia" w:ascii="宋体" w:hAnsi="宋体" w:cs="宋体"/>
                <w:color w:val="000000"/>
                <w:kern w:val="0"/>
                <w:sz w:val="20"/>
                <w:szCs w:val="20"/>
              </w:rPr>
            </w:pPr>
          </w:p>
        </w:tc>
      </w:tr>
      <w:tr w14:paraId="0E25123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C362E9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5A67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2" w:type="dxa"/>
            <w:gridSpan w:val="2"/>
            <w:tcBorders>
              <w:top w:val="nil"/>
              <w:left w:val="nil"/>
              <w:bottom w:val="single" w:color="auto" w:sz="4" w:space="0"/>
              <w:right w:val="single" w:color="auto" w:sz="4" w:space="0"/>
            </w:tcBorders>
            <w:shd w:val="clear" w:color="auto" w:fill="auto"/>
            <w:vAlign w:val="center"/>
          </w:tcPr>
          <w:p w14:paraId="1DD33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4B47D3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1D878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2603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F7F6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EEB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52AB670">
            <w:pPr>
              <w:widowControl/>
              <w:jc w:val="center"/>
              <w:rPr>
                <w:rFonts w:hint="eastAsia" w:ascii="宋体" w:hAnsi="宋体" w:cs="宋体"/>
                <w:color w:val="000000"/>
                <w:kern w:val="0"/>
                <w:sz w:val="20"/>
                <w:szCs w:val="20"/>
              </w:rPr>
            </w:pPr>
          </w:p>
        </w:tc>
      </w:tr>
      <w:tr w14:paraId="16001AB8">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382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934A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5494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D7E9CF">
            <w:pPr>
              <w:widowControl/>
              <w:jc w:val="center"/>
              <w:rPr>
                <w:rFonts w:hint="eastAsia" w:ascii="宋体" w:hAnsi="宋体" w:cs="宋体"/>
                <w:color w:val="000000"/>
                <w:kern w:val="0"/>
                <w:sz w:val="20"/>
                <w:szCs w:val="20"/>
              </w:rPr>
            </w:pPr>
          </w:p>
        </w:tc>
      </w:tr>
    </w:tbl>
    <w:p w14:paraId="1D0DC5E2">
      <w:pPr>
        <w:ind w:firstLine="640" w:firstLineChars="200"/>
        <w:jc w:val="left"/>
        <w:rPr>
          <w:rFonts w:hint="eastAsia" w:ascii="黑体" w:hAnsi="黑体" w:eastAsia="黑体" w:cs="宋体"/>
          <w:bCs/>
          <w:kern w:val="0"/>
          <w:sz w:val="32"/>
          <w:szCs w:val="32"/>
        </w:rPr>
      </w:pPr>
    </w:p>
    <w:p w14:paraId="346D3C0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DA5AD7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bookmarkStart w:id="48" w:name="_GoBack"/>
      <w:bookmarkEnd w:id="48"/>
      <w:r>
        <w:rPr>
          <w:rFonts w:hint="eastAsia" w:ascii="仿宋_GB2312" w:hAnsi="仿宋_GB2312" w:eastAsia="仿宋_GB2312" w:cs="仿宋_GB2312"/>
          <w:kern w:val="0"/>
          <w:sz w:val="32"/>
          <w:szCs w:val="32"/>
        </w:rPr>
        <w:t>当年预算绩效评价项目有2个涉密项目，涉及全年预算资金16.50万元，全年执行数16.50万元，未公开绩效自评表原因：涉密项目不公开项目绩效自评表。</w:t>
      </w:r>
    </w:p>
    <w:p w14:paraId="37FC99E7">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0A90D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0751E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83284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509BD1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1A7C3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BFBE6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9D87F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1B16E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EA4E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DDC9C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370B34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599D9C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A45336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D1335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3AC147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B99A3A5">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027D44D">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3083BE7">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DEEF405">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3143B42">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A322BD8">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1C8C14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DABA964">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D8E510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7C80C87">
      <w:pPr>
        <w:ind w:firstLine="640" w:firstLineChars="200"/>
        <w:rPr>
          <w:rFonts w:ascii="仿宋_GB2312" w:eastAsia="仿宋_GB2312"/>
          <w:sz w:val="32"/>
          <w:szCs w:val="32"/>
        </w:rPr>
      </w:pPr>
    </w:p>
    <w:p w14:paraId="509588B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39B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50E4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B250E4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4C2B22"/>
    <w:rsid w:val="000D4CAD"/>
    <w:rsid w:val="000D55AF"/>
    <w:rsid w:val="00190D61"/>
    <w:rsid w:val="00213C59"/>
    <w:rsid w:val="002C27A6"/>
    <w:rsid w:val="002D54F3"/>
    <w:rsid w:val="003210CE"/>
    <w:rsid w:val="003B4216"/>
    <w:rsid w:val="003E32DE"/>
    <w:rsid w:val="003E44A6"/>
    <w:rsid w:val="00445897"/>
    <w:rsid w:val="004A548A"/>
    <w:rsid w:val="004C2B22"/>
    <w:rsid w:val="004D62CB"/>
    <w:rsid w:val="004E236B"/>
    <w:rsid w:val="00522520"/>
    <w:rsid w:val="00541494"/>
    <w:rsid w:val="00570991"/>
    <w:rsid w:val="00603FE1"/>
    <w:rsid w:val="006141DF"/>
    <w:rsid w:val="00620D04"/>
    <w:rsid w:val="00664642"/>
    <w:rsid w:val="0077295C"/>
    <w:rsid w:val="00927EB1"/>
    <w:rsid w:val="00A20056"/>
    <w:rsid w:val="00A724BC"/>
    <w:rsid w:val="00B63BB7"/>
    <w:rsid w:val="00B70D59"/>
    <w:rsid w:val="00BD52B8"/>
    <w:rsid w:val="00BD6DBC"/>
    <w:rsid w:val="00DA3EBC"/>
    <w:rsid w:val="00DD2FA0"/>
    <w:rsid w:val="00E21EAC"/>
    <w:rsid w:val="00E93E11"/>
    <w:rsid w:val="00EF2042"/>
    <w:rsid w:val="00F52A8D"/>
    <w:rsid w:val="00FD026A"/>
    <w:rsid w:val="019404F8"/>
    <w:rsid w:val="019D111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E35944"/>
    <w:rsid w:val="2E3D144C"/>
    <w:rsid w:val="2E891204"/>
    <w:rsid w:val="2F3F0A28"/>
    <w:rsid w:val="2FBF7029"/>
    <w:rsid w:val="2FD0187F"/>
    <w:rsid w:val="2FD27414"/>
    <w:rsid w:val="2FFE4BB0"/>
    <w:rsid w:val="300E7B60"/>
    <w:rsid w:val="300F6E18"/>
    <w:rsid w:val="304E1225"/>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4D0D0B"/>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7294</Words>
  <Characters>8189</Characters>
  <Lines>104</Lines>
  <Paragraphs>29</Paragraphs>
  <TotalTime>24</TotalTime>
  <ScaleCrop>false</ScaleCrop>
  <LinksUpToDate>false</LinksUpToDate>
  <CharactersWithSpaces>8199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2024-12-27T06:11:15Z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